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B40F8" w14:textId="2070DDC7" w:rsidR="00726329" w:rsidRDefault="00726329" w:rsidP="00726329">
      <w:pPr>
        <w:jc w:val="center"/>
        <w:rPr>
          <w:rFonts w:hint="eastAsia"/>
        </w:rPr>
      </w:pPr>
      <w:r w:rsidRPr="00726329">
        <w:t>表面活性剂 —— 洗衣</w:t>
      </w:r>
      <w:r>
        <w:rPr>
          <w:rFonts w:hint="eastAsia"/>
        </w:rPr>
        <w:t>凝珠</w:t>
      </w:r>
      <w:r w:rsidRPr="00726329">
        <w:t xml:space="preserve"> —— 安全指南、测试方法、标签及包装</w:t>
      </w:r>
    </w:p>
    <w:p w14:paraId="6F009A41" w14:textId="77777777" w:rsidR="00726329" w:rsidRDefault="00726329" w:rsidP="00877887">
      <w:pPr>
        <w:rPr>
          <w:rFonts w:hint="eastAsia"/>
        </w:rPr>
      </w:pPr>
    </w:p>
    <w:p w14:paraId="477AA121" w14:textId="00E86894" w:rsidR="002B2174" w:rsidRDefault="00877887" w:rsidP="00877887">
      <w:pPr>
        <w:rPr>
          <w:rFonts w:hint="eastAsia"/>
        </w:rPr>
      </w:pPr>
      <w:r w:rsidRPr="00877887">
        <w:t>警告</w:t>
      </w:r>
    </w:p>
    <w:p w14:paraId="585140F7" w14:textId="76D43ED0" w:rsidR="002B2174" w:rsidRDefault="00877887" w:rsidP="00877887">
      <w:pPr>
        <w:rPr>
          <w:rFonts w:hint="eastAsia"/>
        </w:rPr>
      </w:pPr>
      <w:r w:rsidRPr="00877887">
        <w:t>本文件并非国际标准化组织（ISO）的国际标准。其发布是为了供审阅和提出意见。本文件可能会在不另行通知的情况下进行更改，且不得被称为国际标准。</w:t>
      </w:r>
    </w:p>
    <w:p w14:paraId="140C5953" w14:textId="5F8A50F9" w:rsidR="00877887" w:rsidRPr="00877887" w:rsidRDefault="00877887" w:rsidP="00877887">
      <w:pPr>
        <w:rPr>
          <w:rFonts w:hint="eastAsia"/>
        </w:rPr>
      </w:pPr>
      <w:r w:rsidRPr="00877887">
        <w:t>诚邀本草案的接收者在提交意见的同时，告知其知晓的任何相关专利权信息，并提供证明文件。</w:t>
      </w:r>
    </w:p>
    <w:p w14:paraId="5D60757D" w14:textId="0FB92283" w:rsidR="00877887" w:rsidRDefault="00877887">
      <w:pPr>
        <w:widowControl/>
        <w:rPr>
          <w:rFonts w:ascii="宋体" w:eastAsia="宋体" w:hAnsi="宋体" w:hint="eastAsia"/>
        </w:rPr>
      </w:pPr>
      <w:r>
        <w:rPr>
          <w:rFonts w:ascii="宋体" w:eastAsia="宋体" w:hAnsi="宋体" w:hint="eastAsia"/>
        </w:rPr>
        <w:br w:type="page"/>
      </w:r>
    </w:p>
    <w:p w14:paraId="5D18B14E" w14:textId="77777777" w:rsidR="002B2174" w:rsidRDefault="00877887">
      <w:pPr>
        <w:rPr>
          <w:rFonts w:ascii="宋体" w:eastAsia="宋体" w:hAnsi="宋体" w:hint="eastAsia"/>
        </w:rPr>
      </w:pPr>
      <w:r w:rsidRPr="00877887">
        <w:rPr>
          <w:rFonts w:ascii="宋体" w:eastAsia="宋体" w:hAnsi="宋体"/>
        </w:rPr>
        <w:lastRenderedPageBreak/>
        <w:t>版权声明</w:t>
      </w:r>
    </w:p>
    <w:p w14:paraId="79A94998" w14:textId="77777777" w:rsidR="002B2174" w:rsidRDefault="00877887">
      <w:pPr>
        <w:rPr>
          <w:rFonts w:ascii="宋体" w:eastAsia="宋体" w:hAnsi="宋体" w:hint="eastAsia"/>
        </w:rPr>
      </w:pPr>
      <w:r w:rsidRPr="00877887">
        <w:rPr>
          <w:rFonts w:ascii="宋体" w:eastAsia="宋体" w:hAnsi="宋体"/>
        </w:rPr>
        <w:t>本国际标准化组织（ISO）文件是一份工作草案或委员会草案，受 ISO 版权保护。虽然参与 ISO 标准制定过程的人员无需事先获得 ISO 许可，即可复制任何形式的工作草案或委员会草案以供使用，但未经 ISO 事先书面许可，不得为任何其他目的以任何形式复制、存储或传播本文件或其任何摘录内容。</w:t>
      </w:r>
    </w:p>
    <w:p w14:paraId="08C3F583" w14:textId="77777777" w:rsidR="002B2174" w:rsidRDefault="00877887">
      <w:pPr>
        <w:rPr>
          <w:rFonts w:ascii="宋体" w:eastAsia="宋体" w:hAnsi="宋体" w:hint="eastAsia"/>
        </w:rPr>
      </w:pPr>
      <w:r w:rsidRPr="00877887">
        <w:rPr>
          <w:rFonts w:ascii="宋体" w:eastAsia="宋体" w:hAnsi="宋体"/>
        </w:rPr>
        <w:t>若需获得复制本文件用于销售的许可，请按以下所示地址联系，或联系请求者所在国家的 ISO 成员机构：</w:t>
      </w:r>
    </w:p>
    <w:p w14:paraId="3579C6DF" w14:textId="77777777" w:rsidR="002B2174" w:rsidRDefault="00877887">
      <w:pPr>
        <w:rPr>
          <w:rFonts w:ascii="宋体" w:eastAsia="宋体" w:hAnsi="宋体" w:hint="eastAsia"/>
        </w:rPr>
      </w:pPr>
      <w:r w:rsidRPr="00877887">
        <w:rPr>
          <w:rFonts w:ascii="宋体" w:eastAsia="宋体" w:hAnsi="宋体"/>
        </w:rPr>
        <w:t>[注明负责技术委员会（TC）或分技术委员会（SC）秘书处的 ISO 成员机构版权经理的完整地址、电话号码、传真号码、电传号码及电子邮件地址（如适用），本工作文件是在该 TC 或 SC 的框架内编制的。]</w:t>
      </w:r>
    </w:p>
    <w:p w14:paraId="376C5F45" w14:textId="77777777" w:rsidR="002B2174" w:rsidRDefault="00877887">
      <w:pPr>
        <w:rPr>
          <w:rFonts w:ascii="宋体" w:eastAsia="宋体" w:hAnsi="宋体" w:hint="eastAsia"/>
        </w:rPr>
      </w:pPr>
      <w:r w:rsidRPr="00877887">
        <w:rPr>
          <w:rFonts w:ascii="宋体" w:eastAsia="宋体" w:hAnsi="宋体"/>
        </w:rPr>
        <w:t>出于销售目的的复制可能需支付版税或签订许可协议。</w:t>
      </w:r>
    </w:p>
    <w:p w14:paraId="4C6DB330" w14:textId="7582D683" w:rsidR="00877887" w:rsidRDefault="00877887">
      <w:pPr>
        <w:rPr>
          <w:rFonts w:ascii="宋体" w:eastAsia="宋体" w:hAnsi="宋体" w:hint="eastAsia"/>
        </w:rPr>
      </w:pPr>
      <w:r w:rsidRPr="00877887">
        <w:rPr>
          <w:rFonts w:ascii="宋体" w:eastAsia="宋体" w:hAnsi="宋体"/>
        </w:rPr>
        <w:t>侵权者可能会被追究法律责任。</w:t>
      </w:r>
    </w:p>
    <w:p w14:paraId="0F1BA6FB" w14:textId="77777777" w:rsidR="00877887" w:rsidRDefault="00877887">
      <w:pPr>
        <w:widowControl/>
        <w:rPr>
          <w:rFonts w:ascii="宋体" w:eastAsia="宋体" w:hAnsi="宋体" w:hint="eastAsia"/>
        </w:rPr>
      </w:pPr>
      <w:r>
        <w:rPr>
          <w:rFonts w:ascii="宋体" w:eastAsia="宋体" w:hAnsi="宋体" w:hint="eastAsia"/>
        </w:rPr>
        <w:br w:type="page"/>
      </w:r>
    </w:p>
    <w:p w14:paraId="2E8FB074" w14:textId="070EAC62" w:rsidR="00877887" w:rsidRPr="00877887" w:rsidRDefault="00877887" w:rsidP="00877887">
      <w:pPr>
        <w:rPr>
          <w:rFonts w:ascii="宋体" w:eastAsia="宋体" w:hAnsi="宋体" w:hint="eastAsia"/>
        </w:rPr>
      </w:pPr>
      <w:r w:rsidRPr="00877887">
        <w:rPr>
          <w:rFonts w:ascii="宋体" w:eastAsia="宋体" w:hAnsi="宋体"/>
        </w:rPr>
        <w:lastRenderedPageBreak/>
        <w:t>目录页</w:t>
      </w:r>
      <w:r w:rsidRPr="00877887">
        <w:rPr>
          <w:rFonts w:ascii="宋体" w:eastAsia="宋体" w:hAnsi="宋体"/>
        </w:rPr>
        <w:br/>
        <w:t>1 范围.............................................................</w:t>
      </w:r>
      <w:r w:rsidRPr="00877887">
        <w:rPr>
          <w:rFonts w:ascii="宋体" w:eastAsia="宋体" w:hAnsi="宋体"/>
        </w:rPr>
        <w:br/>
        <w:t>2 规范性引用文件.................................................</w:t>
      </w:r>
      <w:r w:rsidRPr="00877887">
        <w:rPr>
          <w:rFonts w:ascii="宋体" w:eastAsia="宋体" w:hAnsi="宋体"/>
        </w:rPr>
        <w:br/>
        <w:t>3 术语和定义.......................................................</w:t>
      </w:r>
      <w:r w:rsidRPr="00877887">
        <w:rPr>
          <w:rFonts w:ascii="宋体" w:eastAsia="宋体" w:hAnsi="宋体"/>
        </w:rPr>
        <w:br/>
        <w:t>4 符号和缩写术语...........................................................</w:t>
      </w:r>
      <w:r w:rsidRPr="00877887">
        <w:rPr>
          <w:rFonts w:ascii="宋体" w:eastAsia="宋体" w:hAnsi="宋体"/>
        </w:rPr>
        <w:br/>
        <w:t>5 要求..........................................................</w:t>
      </w:r>
      <w:r w:rsidRPr="00877887">
        <w:rPr>
          <w:rFonts w:ascii="宋体" w:eastAsia="宋体" w:hAnsi="宋体"/>
        </w:rPr>
        <w:br/>
        <w:t>5.1 胶囊的特性.........................................</w:t>
      </w:r>
      <w:r w:rsidRPr="00877887">
        <w:rPr>
          <w:rFonts w:ascii="宋体" w:eastAsia="宋体" w:hAnsi="宋体"/>
        </w:rPr>
        <w:br/>
        <w:t>5.1.1 口腔接触时的排斥性..............................................</w:t>
      </w:r>
      <w:r w:rsidRPr="00877887">
        <w:rPr>
          <w:rFonts w:ascii="宋体" w:eastAsia="宋体" w:hAnsi="宋体"/>
        </w:rPr>
        <w:br/>
        <w:t>5.1.2 胶囊的完整性......................................................</w:t>
      </w:r>
      <w:r w:rsidRPr="00877887">
        <w:rPr>
          <w:rFonts w:ascii="宋体" w:eastAsia="宋体" w:hAnsi="宋体"/>
        </w:rPr>
        <w:br/>
        <w:t>5.2 外包装的特性..........................................................</w:t>
      </w:r>
      <w:r w:rsidRPr="00877887">
        <w:rPr>
          <w:rFonts w:ascii="宋体" w:eastAsia="宋体" w:hAnsi="宋体"/>
        </w:rPr>
        <w:br/>
        <w:t>5.2.1 通过外包装对胶囊的可视性............................</w:t>
      </w:r>
      <w:r w:rsidRPr="00877887">
        <w:rPr>
          <w:rFonts w:ascii="宋体" w:eastAsia="宋体" w:hAnsi="宋体"/>
        </w:rPr>
        <w:br/>
        <w:t>5.2.2 幼儿打开包装的能力........................................</w:t>
      </w:r>
      <w:r w:rsidRPr="00877887">
        <w:rPr>
          <w:rFonts w:ascii="宋体" w:eastAsia="宋体" w:hAnsi="宋体"/>
        </w:rPr>
        <w:br/>
        <w:t>6 抽样..........................................................</w:t>
      </w:r>
      <w:r w:rsidRPr="00877887">
        <w:rPr>
          <w:rFonts w:ascii="宋体" w:eastAsia="宋体" w:hAnsi="宋体"/>
        </w:rPr>
        <w:br/>
        <w:t>7 试验方法...........................................................</w:t>
      </w:r>
      <w:r w:rsidRPr="00877887">
        <w:rPr>
          <w:rFonts w:ascii="宋体" w:eastAsia="宋体" w:hAnsi="宋体"/>
        </w:rPr>
        <w:br/>
        <w:t>7.1 预处理....................................................</w:t>
      </w:r>
      <w:r w:rsidRPr="00877887">
        <w:rPr>
          <w:rFonts w:ascii="宋体" w:eastAsia="宋体" w:hAnsi="宋体"/>
        </w:rPr>
        <w:br/>
        <w:t>7.2 与水接触时胶囊的完整性...............................................</w:t>
      </w:r>
      <w:r w:rsidRPr="00877887">
        <w:rPr>
          <w:rFonts w:ascii="宋体" w:eastAsia="宋体" w:hAnsi="宋体"/>
        </w:rPr>
        <w:br/>
        <w:t>7.3 受到挤压时胶囊的完整性.............................................</w:t>
      </w:r>
      <w:r w:rsidRPr="00877887">
        <w:rPr>
          <w:rFonts w:ascii="宋体" w:eastAsia="宋体" w:hAnsi="宋体"/>
        </w:rPr>
        <w:br/>
        <w:t>7.4 胶囊完整性试验结果的解释............................................</w:t>
      </w:r>
      <w:r w:rsidRPr="00877887">
        <w:rPr>
          <w:rFonts w:ascii="宋体" w:eastAsia="宋体" w:hAnsi="宋体"/>
        </w:rPr>
        <w:br/>
        <w:t>8 试验报告..........................................................</w:t>
      </w:r>
      <w:r w:rsidRPr="00877887">
        <w:rPr>
          <w:rFonts w:ascii="宋体" w:eastAsia="宋体" w:hAnsi="宋体"/>
        </w:rPr>
        <w:br/>
        <w:t>9 标志、标签和包装..........................</w:t>
      </w:r>
      <w:r w:rsidRPr="00877887">
        <w:rPr>
          <w:rFonts w:ascii="宋体" w:eastAsia="宋体" w:hAnsi="宋体"/>
        </w:rPr>
        <w:br/>
        <w:t>附录 A（资料性附录） 对用于洗衣液胶囊的可溶膜中苦味剂有效性的评估.......</w:t>
      </w:r>
      <w:r w:rsidRPr="00877887">
        <w:rPr>
          <w:rFonts w:ascii="宋体" w:eastAsia="宋体" w:hAnsi="宋体"/>
        </w:rPr>
        <w:br/>
        <w:t>A.1 目的............................................</w:t>
      </w:r>
      <w:r w:rsidRPr="00877887">
        <w:rPr>
          <w:rFonts w:ascii="宋体" w:eastAsia="宋体" w:hAnsi="宋体"/>
        </w:rPr>
        <w:br/>
        <w:t>A.2 研究概述.................................................</w:t>
      </w:r>
      <w:r w:rsidRPr="00877887">
        <w:rPr>
          <w:rFonts w:ascii="宋体" w:eastAsia="宋体" w:hAnsi="宋体"/>
        </w:rPr>
        <w:br/>
        <w:t>A.3 试验材料...........................................................</w:t>
      </w:r>
      <w:r w:rsidRPr="00877887">
        <w:rPr>
          <w:rFonts w:ascii="宋体" w:eastAsia="宋体" w:hAnsi="宋体"/>
        </w:rPr>
        <w:br/>
        <w:t>A.3.1 经苦味剂处理的水溶性膜的制备........................................</w:t>
      </w:r>
      <w:r w:rsidRPr="00877887">
        <w:rPr>
          <w:rFonts w:ascii="宋体" w:eastAsia="宋体" w:hAnsi="宋体"/>
        </w:rPr>
        <w:br/>
        <w:t>A.3.2 用于味觉测试的膜片的制备.......................................</w:t>
      </w:r>
      <w:r w:rsidRPr="00877887">
        <w:rPr>
          <w:rFonts w:ascii="宋体" w:eastAsia="宋体" w:hAnsi="宋体"/>
        </w:rPr>
        <w:br/>
        <w:t>A.3.3 测试小组.............................................................</w:t>
      </w:r>
      <w:r w:rsidRPr="00877887">
        <w:rPr>
          <w:rFonts w:ascii="宋体" w:eastAsia="宋体" w:hAnsi="宋体"/>
        </w:rPr>
        <w:br/>
        <w:t>A.3.4 测试设计和说明...........................................</w:t>
      </w:r>
      <w:r w:rsidRPr="00877887">
        <w:rPr>
          <w:rFonts w:ascii="宋体" w:eastAsia="宋体" w:hAnsi="宋体"/>
        </w:rPr>
        <w:br/>
        <w:t>A.3.5 结果分析与报告......................................................</w:t>
      </w:r>
    </w:p>
    <w:p w14:paraId="4BDD08F5" w14:textId="64C871AC" w:rsidR="00877887" w:rsidRDefault="00877887">
      <w:pPr>
        <w:widowControl/>
        <w:rPr>
          <w:rFonts w:ascii="宋体" w:eastAsia="宋体" w:hAnsi="宋体" w:hint="eastAsia"/>
        </w:rPr>
      </w:pPr>
      <w:r>
        <w:rPr>
          <w:rFonts w:ascii="宋体" w:eastAsia="宋体" w:hAnsi="宋体" w:hint="eastAsia"/>
        </w:rPr>
        <w:br w:type="page"/>
      </w:r>
    </w:p>
    <w:p w14:paraId="775C8124" w14:textId="77777777" w:rsidR="002B2174" w:rsidRDefault="00877887" w:rsidP="006F4A04">
      <w:pPr>
        <w:jc w:val="center"/>
        <w:rPr>
          <w:rFonts w:ascii="宋体" w:eastAsia="宋体" w:hAnsi="宋体" w:hint="eastAsia"/>
        </w:rPr>
      </w:pPr>
      <w:r w:rsidRPr="00877887">
        <w:rPr>
          <w:rFonts w:ascii="宋体" w:eastAsia="宋体" w:hAnsi="宋体"/>
        </w:rPr>
        <w:lastRenderedPageBreak/>
        <w:t>前言</w:t>
      </w:r>
    </w:p>
    <w:p w14:paraId="4E2311FD" w14:textId="77777777" w:rsidR="002B2174" w:rsidRDefault="00877887" w:rsidP="006F4A04">
      <w:pPr>
        <w:ind w:firstLineChars="200" w:firstLine="440"/>
        <w:rPr>
          <w:rFonts w:ascii="宋体" w:eastAsia="宋体" w:hAnsi="宋体" w:hint="eastAsia"/>
        </w:rPr>
      </w:pPr>
      <w:r w:rsidRPr="00877887">
        <w:rPr>
          <w:rFonts w:ascii="宋体" w:eastAsia="宋体" w:hAnsi="宋体"/>
        </w:rPr>
        <w:t>国际标准化组织（ISO）是由各国标准化机构（ISO 成员机构）组成的世界性联合会。编制国际标准的工作通常由 ISO 技术委员会承担。对某一技术委员会已确立的项目感兴趣的每个成员机构均有权派代表参加该委员会。与 ISO 保持联络的各国际组织，包括政府组织和非政府组织，也可参与相关工作。ISO 在所有电工技术标准化方面与国际电工委员会（IEC）密切合作。</w:t>
      </w:r>
    </w:p>
    <w:p w14:paraId="216CDF41" w14:textId="77777777" w:rsidR="002B2174" w:rsidRDefault="00877887" w:rsidP="006F4A04">
      <w:pPr>
        <w:ind w:firstLineChars="200" w:firstLine="440"/>
        <w:rPr>
          <w:rFonts w:ascii="宋体" w:eastAsia="宋体" w:hAnsi="宋体" w:hint="eastAsia"/>
        </w:rPr>
      </w:pPr>
      <w:r w:rsidRPr="00877887">
        <w:rPr>
          <w:rFonts w:ascii="宋体" w:eastAsia="宋体" w:hAnsi="宋体"/>
        </w:rPr>
        <w:t>制定本文件以及对其进行后续维护所采用的程序在《ISO/IEC 导则 第 1 部分》中有详细说明。尤其需要注意的是，不同类型的 ISO 文件所需要的不同批准标准。本文件是根据《ISO/IEC 导则 第 2 部分》的编辑规则起草的（详见</w:t>
      </w:r>
      <w:hyperlink r:id="rId7" w:history="1">
        <w:r w:rsidR="0088780E" w:rsidRPr="00DC2CA9">
          <w:rPr>
            <w:rStyle w:val="ae"/>
            <w:rFonts w:ascii="宋体" w:eastAsia="宋体" w:hAnsi="宋体"/>
          </w:rPr>
          <w:t>www.iso.org/directives</w:t>
        </w:r>
      </w:hyperlink>
      <w:r w:rsidRPr="00877887">
        <w:rPr>
          <w:rFonts w:ascii="宋体" w:eastAsia="宋体" w:hAnsi="宋体"/>
        </w:rPr>
        <w:t>）。</w:t>
      </w:r>
    </w:p>
    <w:p w14:paraId="479FA214" w14:textId="77777777" w:rsidR="002B2174" w:rsidRDefault="00877887" w:rsidP="006F4A04">
      <w:pPr>
        <w:ind w:firstLineChars="200" w:firstLine="440"/>
        <w:rPr>
          <w:rFonts w:ascii="宋体" w:eastAsia="宋体" w:hAnsi="宋体" w:hint="eastAsia"/>
        </w:rPr>
      </w:pPr>
      <w:r w:rsidRPr="00877887">
        <w:rPr>
          <w:rFonts w:ascii="宋体" w:eastAsia="宋体" w:hAnsi="宋体"/>
        </w:rPr>
        <w:t>请注意，本文件的某些内容可能涉及专利权。ISO 不承担识别任何或所有此类专利权的责任。在本文件编制过程中所确定的任何专利权详细信息将在引言部分和 / 或 ISO 已收到的专利声明清单中列出（详见</w:t>
      </w:r>
      <w:hyperlink r:id="rId8" w:tgtFrame="_blank" w:history="1">
        <w:r w:rsidRPr="00877887">
          <w:rPr>
            <w:rStyle w:val="ae"/>
            <w:rFonts w:ascii="宋体" w:eastAsia="宋体" w:hAnsi="宋体"/>
          </w:rPr>
          <w:t>www.iso.org/patents</w:t>
        </w:r>
      </w:hyperlink>
      <w:r w:rsidRPr="00877887">
        <w:rPr>
          <w:rFonts w:ascii="宋体" w:eastAsia="宋体" w:hAnsi="宋体"/>
        </w:rPr>
        <w:t>）。</w:t>
      </w:r>
    </w:p>
    <w:p w14:paraId="43FC0973" w14:textId="77777777" w:rsidR="002B2174" w:rsidRDefault="00877887" w:rsidP="006F4A04">
      <w:pPr>
        <w:ind w:firstLineChars="200" w:firstLine="440"/>
        <w:rPr>
          <w:rFonts w:ascii="宋体" w:eastAsia="宋体" w:hAnsi="宋体" w:hint="eastAsia"/>
        </w:rPr>
      </w:pPr>
      <w:r w:rsidRPr="00877887">
        <w:rPr>
          <w:rFonts w:ascii="宋体" w:eastAsia="宋体" w:hAnsi="宋体"/>
        </w:rPr>
        <w:t>本文件中使用的任何商品名称仅为方便用户提供信息，并不构成认可。</w:t>
      </w:r>
      <w:r w:rsidRPr="00877887">
        <w:rPr>
          <w:rFonts w:ascii="宋体" w:eastAsia="宋体" w:hAnsi="宋体"/>
        </w:rPr>
        <w:br/>
        <w:t>关于标准的自愿性性质、ISO 特定术语及与合格评定相关表述的含义，以及 ISO 遵守世界贸易组织（WTO）在《技术性贸易壁垒协定》（TBT）中相关原则的信息，请访问以下网址：</w:t>
      </w:r>
      <w:hyperlink r:id="rId9" w:tgtFrame="_blank" w:history="1">
        <w:r w:rsidRPr="00877887">
          <w:rPr>
            <w:rStyle w:val="ae"/>
            <w:rFonts w:ascii="宋体" w:eastAsia="宋体" w:hAnsi="宋体"/>
          </w:rPr>
          <w:t>www.iso.org/iso/foreword.html</w:t>
        </w:r>
      </w:hyperlink>
      <w:r w:rsidRPr="00877887">
        <w:rPr>
          <w:rFonts w:ascii="宋体" w:eastAsia="宋体" w:hAnsi="宋体"/>
        </w:rPr>
        <w:t>。</w:t>
      </w:r>
    </w:p>
    <w:p w14:paraId="1F9EDEC2" w14:textId="77777777" w:rsidR="002B2174" w:rsidRDefault="00877887" w:rsidP="006F4A04">
      <w:pPr>
        <w:ind w:firstLineChars="200" w:firstLine="440"/>
        <w:rPr>
          <w:rFonts w:ascii="宋体" w:eastAsia="宋体" w:hAnsi="宋体" w:hint="eastAsia"/>
        </w:rPr>
      </w:pPr>
      <w:r w:rsidRPr="00877887">
        <w:rPr>
          <w:rFonts w:ascii="宋体" w:eastAsia="宋体" w:hAnsi="宋体"/>
        </w:rPr>
        <w:t>本文件由 ISO/TC 91 技术委员会 “表面活性剂” 的第 4 工作组 “洗衣液胶囊” 编制。</w:t>
      </w:r>
    </w:p>
    <w:p w14:paraId="78BDC78C" w14:textId="2CD47997" w:rsidR="00877887" w:rsidRDefault="00877887" w:rsidP="006F4A04">
      <w:pPr>
        <w:ind w:firstLineChars="200" w:firstLine="440"/>
        <w:rPr>
          <w:rFonts w:ascii="宋体" w:eastAsia="宋体" w:hAnsi="宋体" w:hint="eastAsia"/>
        </w:rPr>
      </w:pPr>
      <w:r w:rsidRPr="00877887">
        <w:rPr>
          <w:rFonts w:ascii="宋体" w:eastAsia="宋体" w:hAnsi="宋体"/>
        </w:rPr>
        <w:t>ISO ##### 系列的所有部分列表可在 ISO 网站上查询。 （注：由于原文中 “ISO #####” 未明确具体内容，翻译时保留原样）</w:t>
      </w:r>
    </w:p>
    <w:p w14:paraId="4EAB63C6" w14:textId="77777777" w:rsidR="00877887" w:rsidRDefault="00877887">
      <w:pPr>
        <w:widowControl/>
        <w:rPr>
          <w:rFonts w:ascii="宋体" w:eastAsia="宋体" w:hAnsi="宋体" w:hint="eastAsia"/>
        </w:rPr>
      </w:pPr>
      <w:r>
        <w:rPr>
          <w:rFonts w:ascii="宋体" w:eastAsia="宋体" w:hAnsi="宋体" w:hint="eastAsia"/>
        </w:rPr>
        <w:br w:type="page"/>
      </w:r>
    </w:p>
    <w:p w14:paraId="6D06FC57" w14:textId="77777777" w:rsidR="002B2174" w:rsidRDefault="00877887">
      <w:pPr>
        <w:rPr>
          <w:rFonts w:ascii="宋体" w:eastAsia="宋体" w:hAnsi="宋体" w:hint="eastAsia"/>
        </w:rPr>
      </w:pPr>
      <w:r w:rsidRPr="00877887">
        <w:rPr>
          <w:rFonts w:ascii="宋体" w:eastAsia="宋体" w:hAnsi="宋体"/>
        </w:rPr>
        <w:lastRenderedPageBreak/>
        <w:t>引言</w:t>
      </w:r>
    </w:p>
    <w:p w14:paraId="181D10E9" w14:textId="77777777" w:rsidR="002B2174" w:rsidRDefault="00877887" w:rsidP="002B2174">
      <w:pPr>
        <w:ind w:firstLineChars="200" w:firstLine="440"/>
        <w:rPr>
          <w:rFonts w:ascii="宋体" w:eastAsia="宋体" w:hAnsi="宋体" w:hint="eastAsia"/>
        </w:rPr>
      </w:pPr>
      <w:r w:rsidRPr="00877887">
        <w:rPr>
          <w:rFonts w:ascii="宋体" w:eastAsia="宋体" w:hAnsi="宋体"/>
        </w:rPr>
        <w:t>本文件的制定是为了满足对全球统一的原则和准则的需求，以确保洗衣液胶囊（包装袋）的安全性。这种形式的洗涤剂产品是一种相对较新的洗涤剂投放方式，如今每天都有数百万消费者在使用。它们帮助消费者根据洗衣需求准确使用适量的洗涤剂，同时减少了与洗涤剂的接触以及洗涤剂的溢出情况。这是通过将液体洗涤剂的所有活性（浓缩）成分封装在一个小胶囊中得以实现的，该胶囊在洗衣机内遇水溶解，然后释放出洗涤剂发挥作用。</w:t>
      </w:r>
    </w:p>
    <w:p w14:paraId="0F96CB66" w14:textId="77777777" w:rsidR="002B2174" w:rsidRDefault="00877887" w:rsidP="002B2174">
      <w:pPr>
        <w:ind w:firstLineChars="200" w:firstLine="440"/>
        <w:rPr>
          <w:rFonts w:ascii="宋体" w:eastAsia="宋体" w:hAnsi="宋体" w:hint="eastAsia"/>
        </w:rPr>
      </w:pPr>
      <w:r w:rsidRPr="00877887">
        <w:rPr>
          <w:rFonts w:ascii="宋体" w:eastAsia="宋体" w:hAnsi="宋体"/>
        </w:rPr>
        <w:t>当按照产品标签上的说明进行使用和储存时，洗衣液胶囊是安全的。然而，不当使用，尤其是在幼儿能够接触到胶囊的情况下，可能会导致意外将浓缩洗涤剂成分接触到口腔或眼睛中。在过去十年里，世界各地的毒物控制中心报告了大量涉及 6 岁以下儿童接触洗衣液胶囊的案例。此类事件主要是由于洗涤剂胶囊没有正确存放，使其处于儿童无法触及的地方。口腔接触洗涤剂胶囊后最常见的临床症状是呕吐，而眼睛接触则可能导致眼部刺激。接触洗涤剂胶囊可能会引发严重的健康症状，甚至导致一些人需要住院治疗。</w:t>
      </w:r>
    </w:p>
    <w:p w14:paraId="73C65C55" w14:textId="77777777" w:rsidR="002B2174" w:rsidRDefault="00877887" w:rsidP="002B2174">
      <w:pPr>
        <w:ind w:firstLineChars="200" w:firstLine="440"/>
        <w:rPr>
          <w:rFonts w:ascii="宋体" w:eastAsia="宋体" w:hAnsi="宋体" w:hint="eastAsia"/>
        </w:rPr>
      </w:pPr>
      <w:r w:rsidRPr="00877887">
        <w:rPr>
          <w:rFonts w:ascii="宋体" w:eastAsia="宋体" w:hAnsi="宋体"/>
        </w:rPr>
        <w:t>为了解决这一问题，已经采取了多项措施。2012 年，欧洲洗涤剂行业推出了针对洗衣液胶囊的自愿性欧洲洗涤剂协会（A.I.S.E.）产品监管计划 [1]。这促使行业承诺采用不透明 / 模糊的包装并配备加固的封口，在包装上添加额外的标签，包括带有关键安全指导信息的显眼黄色标识块，以及对消费者进行教育，强调产品必须始终远离儿童进行安全储存和处理的必要性。几乎在同一时期，美国清洁协会（ACI）为美国的制造商发布了类似的安全指南。2014 年 12 月，欧洲监管机构通过了（欧盟）第 1297/2014 号法规，即《可溶包装法规》[2]，该法规修订了《化学品分类、标签和包装法规》（CLP 法规，（EC）1272/2008）[3]，并以洗涤剂行业现有的自愿性举措为基础。此外，该法规要求胶囊满足机械完整性标准，以便在短时间浸入水中或受到挤压时能够保留其内部的液体成分，并且要求胶囊中含有一种苦味剂，以便在口腔接触时能迅速引起排斥反应。为了帮助实际实施，欧洲洗涤剂协会（A.I.S.E.）制定了指南 [4]，提供了技术工具和建议，包括确定苦味剂有效含量水平的评估方法，以及测量机械完整性的方案。2015 年，美国材料与试验协会（ASTM）国际发布了 F3159-15 标准《洗衣液包装袋安全规范》[5]。该标准在很大程度上是基于对欧盟《可溶包装法规》及其欧洲洗涤剂协会（A.I.S.E.）指南的重新应用。此外，它引入了针对北美市场的特定警示文字和象形图，以及关于儿童安全封口的详细指导和设计方案。</w:t>
      </w:r>
    </w:p>
    <w:p w14:paraId="403EF21A" w14:textId="77777777" w:rsidR="002B2174" w:rsidRDefault="00877887" w:rsidP="002B2174">
      <w:pPr>
        <w:ind w:firstLineChars="200" w:firstLine="440"/>
        <w:rPr>
          <w:rFonts w:ascii="宋体" w:eastAsia="宋体" w:hAnsi="宋体" w:hint="eastAsia"/>
        </w:rPr>
      </w:pPr>
      <w:r w:rsidRPr="00877887">
        <w:rPr>
          <w:rFonts w:ascii="宋体" w:eastAsia="宋体" w:hAnsi="宋体"/>
        </w:rPr>
        <w:t>多项研究 [6,7] 表明，上述安全措施的实施使得意外接触率（相对于这些产品不断增长的市场规模而言）显著下降，同时事故的严重程度也有所降低。</w:t>
      </w:r>
    </w:p>
    <w:p w14:paraId="48F05A74" w14:textId="49DAB19A" w:rsidR="00877887" w:rsidRDefault="00877887" w:rsidP="002B2174">
      <w:pPr>
        <w:ind w:firstLineChars="200" w:firstLine="440"/>
        <w:rPr>
          <w:rFonts w:ascii="宋体" w:eastAsia="宋体" w:hAnsi="宋体" w:hint="eastAsia"/>
        </w:rPr>
      </w:pPr>
      <w:r w:rsidRPr="00877887">
        <w:rPr>
          <w:rFonts w:ascii="宋体" w:eastAsia="宋体" w:hAnsi="宋体"/>
        </w:rPr>
        <w:t>随着这类产品在全球范围内普及，有必要对相关原则和准则进行国际标准化，以确保安全使用，特别是防止幼儿意外接触。当前的 ISO 标准基于目前已有的各项要求和承诺，为家用洗衣液胶囊（包装袋）设定了全球安全要求。</w:t>
      </w:r>
    </w:p>
    <w:p w14:paraId="77EB8742" w14:textId="77777777" w:rsidR="00877887" w:rsidRDefault="00877887">
      <w:pPr>
        <w:widowControl/>
        <w:rPr>
          <w:rFonts w:ascii="宋体" w:eastAsia="宋体" w:hAnsi="宋体" w:hint="eastAsia"/>
        </w:rPr>
      </w:pPr>
      <w:r>
        <w:rPr>
          <w:rFonts w:ascii="宋体" w:eastAsia="宋体" w:hAnsi="宋体" w:hint="eastAsia"/>
        </w:rPr>
        <w:br w:type="page"/>
      </w:r>
    </w:p>
    <w:p w14:paraId="2D24FD08" w14:textId="77777777" w:rsidR="002B2174" w:rsidRDefault="00877887">
      <w:pPr>
        <w:rPr>
          <w:rFonts w:ascii="宋体" w:eastAsia="宋体" w:hAnsi="宋体" w:hint="eastAsia"/>
        </w:rPr>
      </w:pPr>
      <w:r w:rsidRPr="00877887">
        <w:rPr>
          <w:rFonts w:ascii="宋体" w:eastAsia="宋体" w:hAnsi="宋体"/>
        </w:rPr>
        <w:lastRenderedPageBreak/>
        <w:t>1 范围</w:t>
      </w:r>
    </w:p>
    <w:p w14:paraId="0974EB56" w14:textId="77777777" w:rsidR="002B2174" w:rsidRDefault="00877887" w:rsidP="006F4A04">
      <w:pPr>
        <w:ind w:firstLineChars="200" w:firstLine="440"/>
        <w:rPr>
          <w:rFonts w:ascii="宋体" w:eastAsia="宋体" w:hAnsi="宋体" w:hint="eastAsia"/>
        </w:rPr>
      </w:pPr>
      <w:r w:rsidRPr="00877887">
        <w:rPr>
          <w:rFonts w:ascii="宋体" w:eastAsia="宋体" w:hAnsi="宋体"/>
        </w:rPr>
        <w:t>本文件规定了家用洗衣液胶囊（包装袋）的原则、要求和试验方法，以确保这些产品的性能、质量和安全性，此外，还有助于预防儿童意外事故的发生，并促进消费品的安全销售。</w:t>
      </w:r>
    </w:p>
    <w:p w14:paraId="0616F260" w14:textId="3882647C" w:rsidR="002B2174" w:rsidRDefault="00877887" w:rsidP="006F4A04">
      <w:pPr>
        <w:ind w:firstLineChars="200" w:firstLine="440"/>
        <w:rPr>
          <w:rFonts w:ascii="宋体" w:eastAsia="宋体" w:hAnsi="宋体" w:hint="eastAsia"/>
        </w:rPr>
      </w:pPr>
      <w:r w:rsidRPr="00877887">
        <w:rPr>
          <w:rFonts w:ascii="宋体" w:eastAsia="宋体" w:hAnsi="宋体"/>
        </w:rPr>
        <w:t>本标准涵盖家用洗衣液胶囊。这包括所有呈胶囊形式（即装在水溶性薄膜中）且全部或部分为液态的单剂量家用洗衣洗涤剂产品。单隔层以及多隔层产品均在本标准范围内。对于多隔层产品，只要至少有一个隔层为液态形式，就属于本标准的适用范围。</w:t>
      </w:r>
      <w:r w:rsidRPr="00877887">
        <w:rPr>
          <w:rFonts w:ascii="宋体" w:eastAsia="宋体" w:hAnsi="宋体"/>
        </w:rPr>
        <w:br/>
      </w:r>
      <w:r w:rsidR="006F4A04">
        <w:rPr>
          <w:rFonts w:ascii="宋体" w:eastAsia="宋体" w:hAnsi="宋体" w:hint="eastAsia"/>
        </w:rPr>
        <w:t xml:space="preserve">    </w:t>
      </w:r>
      <w:r w:rsidRPr="00877887">
        <w:rPr>
          <w:rFonts w:ascii="宋体" w:eastAsia="宋体" w:hAnsi="宋体"/>
        </w:rPr>
        <w:t>本标准对范围的定义意味着，除家用洗衣用途之外的其他用途的洗衣液胶囊不在本标准范围内。这也意味着，完全呈粉末状的单剂量洗衣洗涤剂（即使它们装在可溶薄膜中）也不在本标准范围内。</w:t>
      </w:r>
    </w:p>
    <w:p w14:paraId="6558A757" w14:textId="77777777" w:rsidR="002B2174" w:rsidRDefault="00877887">
      <w:pPr>
        <w:rPr>
          <w:rFonts w:ascii="宋体" w:eastAsia="宋体" w:hAnsi="宋体" w:hint="eastAsia"/>
        </w:rPr>
      </w:pPr>
      <w:r w:rsidRPr="00877887">
        <w:rPr>
          <w:rFonts w:ascii="宋体" w:eastAsia="宋体" w:hAnsi="宋体"/>
        </w:rPr>
        <w:t>2 规范性引用文件</w:t>
      </w:r>
    </w:p>
    <w:p w14:paraId="6C5F4317" w14:textId="77777777" w:rsidR="002B2174" w:rsidRDefault="00877887" w:rsidP="006F4A04">
      <w:pPr>
        <w:ind w:firstLineChars="200" w:firstLine="440"/>
        <w:rPr>
          <w:rFonts w:ascii="宋体" w:eastAsia="宋体" w:hAnsi="宋体" w:hint="eastAsia"/>
        </w:rPr>
      </w:pPr>
      <w:r w:rsidRPr="00877887">
        <w:rPr>
          <w:rFonts w:ascii="宋体" w:eastAsia="宋体" w:hAnsi="宋体"/>
        </w:rPr>
        <w:t>下列文件中的全部或部分内容在本文件中被规范性引用，且对于本文件的应用必不可少。凡是注日期的引用文件，仅所注日期的版本适用于本文件。凡是不注日期的引用文件，其最新版本（包括所有的修改单）适用于本文件。</w:t>
      </w:r>
    </w:p>
    <w:p w14:paraId="33A19E97" w14:textId="1D9DB268" w:rsidR="00744FF3" w:rsidRDefault="00877887" w:rsidP="006F4A04">
      <w:pPr>
        <w:ind w:firstLineChars="200" w:firstLine="440"/>
        <w:rPr>
          <w:rFonts w:ascii="宋体" w:eastAsia="宋体" w:hAnsi="宋体" w:hint="eastAsia"/>
        </w:rPr>
      </w:pPr>
      <w:r w:rsidRPr="00877887">
        <w:rPr>
          <w:rFonts w:ascii="宋体" w:eastAsia="宋体" w:hAnsi="宋体"/>
        </w:rPr>
        <w:t>ISO 2859-4，《计数抽样检验程序 第 4 部分：声称质量水平的评定程序》</w:t>
      </w:r>
      <w:r>
        <w:rPr>
          <w:rFonts w:ascii="宋体" w:eastAsia="宋体" w:hAnsi="宋体" w:hint="eastAsia"/>
        </w:rPr>
        <w:t>。</w:t>
      </w:r>
    </w:p>
    <w:p w14:paraId="263F50AE" w14:textId="77777777" w:rsidR="002B2174" w:rsidRDefault="00877887">
      <w:pPr>
        <w:rPr>
          <w:rFonts w:ascii="宋体" w:eastAsia="宋体" w:hAnsi="宋体" w:hint="eastAsia"/>
        </w:rPr>
      </w:pPr>
      <w:r w:rsidRPr="00877887">
        <w:rPr>
          <w:rFonts w:ascii="宋体" w:eastAsia="宋体" w:hAnsi="宋体"/>
        </w:rPr>
        <w:t>3 术语和定义</w:t>
      </w:r>
    </w:p>
    <w:p w14:paraId="20797F0B" w14:textId="77777777" w:rsidR="002B2174" w:rsidRDefault="00877887" w:rsidP="006F4A04">
      <w:pPr>
        <w:ind w:firstLineChars="200" w:firstLine="440"/>
        <w:rPr>
          <w:rFonts w:ascii="宋体" w:eastAsia="宋体" w:hAnsi="宋体" w:hint="eastAsia"/>
        </w:rPr>
      </w:pPr>
      <w:r w:rsidRPr="00877887">
        <w:rPr>
          <w:rFonts w:ascii="宋体" w:eastAsia="宋体" w:hAnsi="宋体"/>
        </w:rPr>
        <w:t>就本文件而言，适用下列术语和定义：</w:t>
      </w:r>
    </w:p>
    <w:p w14:paraId="67AA8410" w14:textId="77777777" w:rsidR="002B2174" w:rsidRDefault="00877887">
      <w:pPr>
        <w:rPr>
          <w:rFonts w:ascii="宋体" w:eastAsia="宋体" w:hAnsi="宋体" w:hint="eastAsia"/>
        </w:rPr>
      </w:pPr>
      <w:r w:rsidRPr="00877887">
        <w:rPr>
          <w:rFonts w:ascii="宋体" w:eastAsia="宋体" w:hAnsi="宋体"/>
        </w:rPr>
        <w:t>3.1</w:t>
      </w:r>
    </w:p>
    <w:p w14:paraId="7A563D32" w14:textId="77777777" w:rsidR="002B2174" w:rsidRDefault="00877887">
      <w:pPr>
        <w:rPr>
          <w:rFonts w:ascii="宋体" w:eastAsia="宋体" w:hAnsi="宋体" w:hint="eastAsia"/>
        </w:rPr>
      </w:pPr>
      <w:r w:rsidRPr="00877887">
        <w:rPr>
          <w:rFonts w:ascii="宋体" w:eastAsia="宋体" w:hAnsi="宋体"/>
        </w:rPr>
        <w:t>洗涤剂</w:t>
      </w:r>
    </w:p>
    <w:p w14:paraId="1B3B65FD" w14:textId="77777777" w:rsidR="002B2174" w:rsidRDefault="00877887" w:rsidP="006F4A04">
      <w:pPr>
        <w:ind w:firstLineChars="200" w:firstLine="440"/>
        <w:rPr>
          <w:rFonts w:ascii="宋体" w:eastAsia="宋体" w:hAnsi="宋体" w:hint="eastAsia"/>
        </w:rPr>
      </w:pPr>
      <w:r w:rsidRPr="00877887">
        <w:rPr>
          <w:rFonts w:ascii="宋体" w:eastAsia="宋体" w:hAnsi="宋体"/>
        </w:rPr>
        <w:t>“洗涤剂” 是指任何含有肥皂和 / 或其他表面活性剂，用于洗涤和清洁过程的物质或混合物。洗涤剂可以是任何形式（液体、粉末、糊状、条状、块状、模制件、特定形状等），且面向家庭、公共机构或工业用途进行销售或使用。</w:t>
      </w:r>
    </w:p>
    <w:p w14:paraId="1E5CD3CE" w14:textId="3DBD1E2C" w:rsidR="002B2174" w:rsidRDefault="00877887">
      <w:pPr>
        <w:rPr>
          <w:rFonts w:ascii="宋体" w:eastAsia="宋体" w:hAnsi="宋体" w:hint="eastAsia"/>
        </w:rPr>
      </w:pPr>
      <w:r w:rsidRPr="00877887">
        <w:rPr>
          <w:rFonts w:ascii="宋体" w:eastAsia="宋体" w:hAnsi="宋体"/>
        </w:rPr>
        <w:t>[来源：欧洲议会和理事会 2004 年 3 月 31 日关于洗涤剂的（EC）第 648/2004 号法规]</w:t>
      </w:r>
    </w:p>
    <w:p w14:paraId="16AC75E1" w14:textId="77777777" w:rsidR="002B2174" w:rsidRDefault="00877887">
      <w:pPr>
        <w:rPr>
          <w:rFonts w:ascii="宋体" w:eastAsia="宋体" w:hAnsi="宋体" w:hint="eastAsia"/>
        </w:rPr>
      </w:pPr>
      <w:r w:rsidRPr="00877887">
        <w:rPr>
          <w:rFonts w:ascii="宋体" w:eastAsia="宋体" w:hAnsi="宋体"/>
        </w:rPr>
        <w:t>3.2</w:t>
      </w:r>
    </w:p>
    <w:p w14:paraId="2EEAE90B" w14:textId="77777777" w:rsidR="002B2174" w:rsidRDefault="00877887">
      <w:pPr>
        <w:rPr>
          <w:rFonts w:ascii="宋体" w:eastAsia="宋体" w:hAnsi="宋体" w:hint="eastAsia"/>
        </w:rPr>
      </w:pPr>
      <w:r w:rsidRPr="00877887">
        <w:rPr>
          <w:rFonts w:ascii="宋体" w:eastAsia="宋体" w:hAnsi="宋体"/>
        </w:rPr>
        <w:t>家用洗衣洗涤剂</w:t>
      </w:r>
    </w:p>
    <w:p w14:paraId="4ED4748E" w14:textId="77777777" w:rsidR="002B2174" w:rsidRDefault="00877887" w:rsidP="006F4A04">
      <w:pPr>
        <w:ind w:firstLineChars="200" w:firstLine="440"/>
        <w:rPr>
          <w:rFonts w:ascii="宋体" w:eastAsia="宋体" w:hAnsi="宋体" w:hint="eastAsia"/>
        </w:rPr>
      </w:pPr>
      <w:r w:rsidRPr="00877887">
        <w:rPr>
          <w:rFonts w:ascii="宋体" w:eastAsia="宋体" w:hAnsi="宋体"/>
        </w:rPr>
        <w:t>“家用洗衣洗涤剂” 是指投放市场供非专业人员使用的洗衣洗涤剂，包括在公共自助洗衣店使用的洗涤剂。</w:t>
      </w:r>
    </w:p>
    <w:p w14:paraId="711E958C" w14:textId="3267AFEA" w:rsidR="00877887" w:rsidRDefault="00877887">
      <w:pPr>
        <w:rPr>
          <w:rFonts w:ascii="宋体" w:eastAsia="宋体" w:hAnsi="宋体" w:hint="eastAsia"/>
        </w:rPr>
      </w:pPr>
      <w:r w:rsidRPr="00877887">
        <w:rPr>
          <w:rFonts w:ascii="宋体" w:eastAsia="宋体" w:hAnsi="宋体"/>
        </w:rPr>
        <w:t>[来源：欧洲议会和理事会 2004 年 3 月 31 日关于洗涤剂的（EC）第 648/2004 号法规]</w:t>
      </w:r>
    </w:p>
    <w:p w14:paraId="536046CF" w14:textId="77777777" w:rsidR="002B2174" w:rsidRDefault="009E329E">
      <w:pPr>
        <w:rPr>
          <w:rFonts w:ascii="宋体" w:eastAsia="宋体" w:hAnsi="宋体" w:hint="eastAsia"/>
        </w:rPr>
      </w:pPr>
      <w:r w:rsidRPr="009E329E">
        <w:rPr>
          <w:rFonts w:ascii="宋体" w:eastAsia="宋体" w:hAnsi="宋体"/>
        </w:rPr>
        <w:lastRenderedPageBreak/>
        <w:t>3.3</w:t>
      </w:r>
    </w:p>
    <w:p w14:paraId="34838F49" w14:textId="77777777" w:rsidR="002B2174" w:rsidRDefault="009E329E">
      <w:pPr>
        <w:rPr>
          <w:rFonts w:ascii="宋体" w:eastAsia="宋体" w:hAnsi="宋体" w:hint="eastAsia"/>
        </w:rPr>
      </w:pPr>
      <w:r w:rsidRPr="009E329E">
        <w:rPr>
          <w:rFonts w:ascii="宋体" w:eastAsia="宋体" w:hAnsi="宋体"/>
        </w:rPr>
        <w:t>液体</w:t>
      </w:r>
    </w:p>
    <w:p w14:paraId="065192D7" w14:textId="77777777" w:rsidR="002B2174" w:rsidRDefault="009E329E" w:rsidP="006F4A04">
      <w:pPr>
        <w:ind w:firstLineChars="200" w:firstLine="440"/>
        <w:rPr>
          <w:rFonts w:ascii="宋体" w:eastAsia="宋体" w:hAnsi="宋体" w:hint="eastAsia"/>
        </w:rPr>
      </w:pPr>
      <w:r w:rsidRPr="009E329E">
        <w:rPr>
          <w:rFonts w:ascii="宋体" w:eastAsia="宋体" w:hAnsi="宋体"/>
        </w:rPr>
        <w:t xml:space="preserve">“液体” 是指符合以下条件的物质或混合物：（i）在 50℃时，其蒸气压不超过 300 千帕（3 </w:t>
      </w:r>
      <w:r w:rsidR="002B2174">
        <w:rPr>
          <w:rFonts w:ascii="宋体" w:eastAsia="宋体" w:hAnsi="宋体" w:hint="eastAsia"/>
        </w:rPr>
        <w:t>bar</w:t>
      </w:r>
      <w:r w:rsidRPr="009E329E">
        <w:rPr>
          <w:rFonts w:ascii="宋体" w:eastAsia="宋体" w:hAnsi="宋体"/>
        </w:rPr>
        <w:t>）；（ii）在 20℃和 101.3 千帕的标准压力下，并非完全呈气态；（iii）在 101.3 千帕的标准压力下，其熔点或初始熔点为 20℃或更低。</w:t>
      </w:r>
      <w:r w:rsidRPr="009E329E">
        <w:rPr>
          <w:rFonts w:ascii="宋体" w:eastAsia="宋体" w:hAnsi="宋体"/>
        </w:rPr>
        <w:br/>
        <w:t>[来源：欧洲议会和理事会关于物质和混合物的分类、标签和包装的（EC）第 1272/2008 号法规]</w:t>
      </w:r>
    </w:p>
    <w:p w14:paraId="64051ED8" w14:textId="77777777" w:rsidR="002B2174" w:rsidRDefault="009E329E">
      <w:pPr>
        <w:rPr>
          <w:rFonts w:ascii="宋体" w:eastAsia="宋体" w:hAnsi="宋体" w:hint="eastAsia"/>
        </w:rPr>
      </w:pPr>
      <w:r w:rsidRPr="009E329E">
        <w:rPr>
          <w:rFonts w:ascii="宋体" w:eastAsia="宋体" w:hAnsi="宋体"/>
        </w:rPr>
        <w:t>3.3</w:t>
      </w:r>
    </w:p>
    <w:p w14:paraId="4A055495" w14:textId="77777777" w:rsidR="002B2174" w:rsidRDefault="009E329E">
      <w:pPr>
        <w:rPr>
          <w:rFonts w:ascii="宋体" w:eastAsia="宋体" w:hAnsi="宋体" w:hint="eastAsia"/>
        </w:rPr>
      </w:pPr>
      <w:r w:rsidRPr="009E329E">
        <w:rPr>
          <w:rFonts w:ascii="宋体" w:eastAsia="宋体" w:hAnsi="宋体"/>
        </w:rPr>
        <w:t>洗衣</w:t>
      </w:r>
      <w:r w:rsidR="002B2174">
        <w:rPr>
          <w:rFonts w:ascii="宋体" w:eastAsia="宋体" w:hAnsi="宋体" w:hint="eastAsia"/>
        </w:rPr>
        <w:t>凝珠</w:t>
      </w:r>
    </w:p>
    <w:p w14:paraId="3909FEE6" w14:textId="77777777" w:rsidR="002B2174" w:rsidRDefault="009E329E" w:rsidP="006F4A04">
      <w:pPr>
        <w:ind w:firstLineChars="200" w:firstLine="440"/>
        <w:rPr>
          <w:rFonts w:ascii="宋体" w:eastAsia="宋体" w:hAnsi="宋体" w:hint="eastAsia"/>
        </w:rPr>
      </w:pPr>
      <w:r w:rsidRPr="009E329E">
        <w:rPr>
          <w:rFonts w:ascii="宋体" w:eastAsia="宋体" w:hAnsi="宋体"/>
        </w:rPr>
        <w:t>“洗衣</w:t>
      </w:r>
      <w:r w:rsidR="002B2174">
        <w:rPr>
          <w:rFonts w:ascii="宋体" w:eastAsia="宋体" w:hAnsi="宋体" w:hint="eastAsia"/>
        </w:rPr>
        <w:t>凝珠</w:t>
      </w:r>
      <w:r w:rsidRPr="009E329E">
        <w:rPr>
          <w:rFonts w:ascii="宋体" w:eastAsia="宋体" w:hAnsi="宋体"/>
        </w:rPr>
        <w:t>” 是指装在可溶包装内、供单次使用的家用洗衣洗涤剂，其含有液体洗涤剂。单剂量的多隔层产品，若其中包含几种不同形态的产品（例如，部分为液体，部分为固体），也被视为洗衣</w:t>
      </w:r>
      <w:r w:rsidR="002B2174">
        <w:rPr>
          <w:rFonts w:ascii="宋体" w:eastAsia="宋体" w:hAnsi="宋体" w:hint="eastAsia"/>
        </w:rPr>
        <w:t>凝珠</w:t>
      </w:r>
      <w:r w:rsidRPr="009E329E">
        <w:rPr>
          <w:rFonts w:ascii="宋体" w:eastAsia="宋体" w:hAnsi="宋体"/>
        </w:rPr>
        <w:t>。任何含有一定量液体洗衣洗涤剂的单剂量产品均被认为属于本定义的范畴。</w:t>
      </w:r>
    </w:p>
    <w:p w14:paraId="0A8786B0" w14:textId="77777777" w:rsidR="002B2174" w:rsidRDefault="009E329E">
      <w:pPr>
        <w:rPr>
          <w:rFonts w:ascii="宋体" w:eastAsia="宋体" w:hAnsi="宋体" w:hint="eastAsia"/>
        </w:rPr>
      </w:pPr>
      <w:r w:rsidRPr="009E329E">
        <w:rPr>
          <w:rFonts w:ascii="宋体" w:eastAsia="宋体" w:hAnsi="宋体"/>
        </w:rPr>
        <w:t>3.4</w:t>
      </w:r>
    </w:p>
    <w:p w14:paraId="12BE8271" w14:textId="77777777" w:rsidR="002B2174" w:rsidRDefault="009E329E">
      <w:pPr>
        <w:rPr>
          <w:rFonts w:ascii="宋体" w:eastAsia="宋体" w:hAnsi="宋体" w:hint="eastAsia"/>
        </w:rPr>
      </w:pPr>
      <w:r w:rsidRPr="009E329E">
        <w:rPr>
          <w:rFonts w:ascii="宋体" w:eastAsia="宋体" w:hAnsi="宋体"/>
        </w:rPr>
        <w:t>外包装</w:t>
      </w:r>
    </w:p>
    <w:p w14:paraId="426620FE" w14:textId="319ED2A3" w:rsidR="009E329E" w:rsidRDefault="009E329E" w:rsidP="006F4A04">
      <w:pPr>
        <w:ind w:firstLineChars="200" w:firstLine="440"/>
        <w:rPr>
          <w:rFonts w:ascii="宋体" w:eastAsia="宋体" w:hAnsi="宋体" w:hint="eastAsia"/>
        </w:rPr>
      </w:pPr>
      <w:r w:rsidRPr="009E329E">
        <w:rPr>
          <w:rFonts w:ascii="宋体" w:eastAsia="宋体" w:hAnsi="宋体"/>
        </w:rPr>
        <w:t>“外包装” 是指消费者作为单个单元购买的包装单元（在大多数情况下是一个盒子、桶或自立袋），其中装有一定数量的洗衣液胶囊。</w:t>
      </w:r>
    </w:p>
    <w:p w14:paraId="4E7CA779" w14:textId="77777777" w:rsidR="002B2174" w:rsidRDefault="009E329E">
      <w:pPr>
        <w:rPr>
          <w:rFonts w:ascii="宋体" w:eastAsia="宋体" w:hAnsi="宋体" w:hint="eastAsia"/>
        </w:rPr>
      </w:pPr>
      <w:r w:rsidRPr="009E329E">
        <w:rPr>
          <w:rFonts w:ascii="宋体" w:eastAsia="宋体" w:hAnsi="宋体"/>
        </w:rPr>
        <w:t>4 符号和缩写术语</w:t>
      </w:r>
    </w:p>
    <w:p w14:paraId="46F42D0A" w14:textId="77777777" w:rsidR="002B2174" w:rsidRDefault="009E329E">
      <w:pPr>
        <w:rPr>
          <w:rFonts w:ascii="宋体" w:eastAsia="宋体" w:hAnsi="宋体" w:hint="eastAsia"/>
        </w:rPr>
      </w:pPr>
      <w:r w:rsidRPr="009E329E">
        <w:rPr>
          <w:rFonts w:ascii="宋体" w:eastAsia="宋体" w:hAnsi="宋体"/>
        </w:rPr>
        <w:t>4.1</w:t>
      </w:r>
    </w:p>
    <w:p w14:paraId="210DE004" w14:textId="77777777" w:rsidR="002B2174" w:rsidRDefault="009E329E">
      <w:pPr>
        <w:rPr>
          <w:rFonts w:ascii="宋体" w:eastAsia="宋体" w:hAnsi="宋体" w:hint="eastAsia"/>
        </w:rPr>
      </w:pPr>
      <w:r w:rsidRPr="009E329E">
        <w:rPr>
          <w:rFonts w:ascii="宋体" w:eastAsia="宋体" w:hAnsi="宋体"/>
        </w:rPr>
        <w:t>LLDC</w:t>
      </w:r>
    </w:p>
    <w:p w14:paraId="75815EC6" w14:textId="2C57BBD7" w:rsidR="009E329E" w:rsidRDefault="009E329E" w:rsidP="006F4A04">
      <w:pPr>
        <w:ind w:firstLineChars="200" w:firstLine="440"/>
        <w:rPr>
          <w:rFonts w:ascii="宋体" w:eastAsia="宋体" w:hAnsi="宋体" w:hint="eastAsia"/>
        </w:rPr>
      </w:pPr>
      <w:r w:rsidRPr="009E329E">
        <w:rPr>
          <w:rFonts w:ascii="宋体" w:eastAsia="宋体" w:hAnsi="宋体"/>
        </w:rPr>
        <w:t>洗衣</w:t>
      </w:r>
      <w:r w:rsidR="002B2174">
        <w:rPr>
          <w:rFonts w:ascii="宋体" w:eastAsia="宋体" w:hAnsi="宋体" w:hint="eastAsia"/>
        </w:rPr>
        <w:t>凝珠</w:t>
      </w:r>
      <w:r w:rsidRPr="009E329E">
        <w:rPr>
          <w:rFonts w:ascii="宋体" w:eastAsia="宋体" w:hAnsi="宋体"/>
        </w:rPr>
        <w:t>（Liquid Laundry Detergent Capsule）</w:t>
      </w:r>
    </w:p>
    <w:p w14:paraId="7379E499" w14:textId="77777777" w:rsidR="002B2174" w:rsidRDefault="009E329E">
      <w:pPr>
        <w:rPr>
          <w:rFonts w:ascii="宋体" w:eastAsia="宋体" w:hAnsi="宋体" w:hint="eastAsia"/>
        </w:rPr>
      </w:pPr>
      <w:r w:rsidRPr="009E329E">
        <w:rPr>
          <w:rFonts w:ascii="宋体" w:eastAsia="宋体" w:hAnsi="宋体"/>
        </w:rPr>
        <w:t>5 要求</w:t>
      </w:r>
    </w:p>
    <w:p w14:paraId="69B169F7" w14:textId="77777777" w:rsidR="002B2174" w:rsidRDefault="009E329E">
      <w:pPr>
        <w:rPr>
          <w:rFonts w:ascii="宋体" w:eastAsia="宋体" w:hAnsi="宋体" w:hint="eastAsia"/>
        </w:rPr>
      </w:pPr>
      <w:r w:rsidRPr="009E329E">
        <w:rPr>
          <w:rFonts w:ascii="宋体" w:eastAsia="宋体" w:hAnsi="宋体"/>
        </w:rPr>
        <w:t>5.1 胶囊的特性</w:t>
      </w:r>
    </w:p>
    <w:p w14:paraId="32A49847" w14:textId="77777777" w:rsidR="002B2174" w:rsidRDefault="009E329E">
      <w:pPr>
        <w:rPr>
          <w:rFonts w:ascii="宋体" w:eastAsia="宋体" w:hAnsi="宋体" w:hint="eastAsia"/>
        </w:rPr>
      </w:pPr>
      <w:r w:rsidRPr="009E329E">
        <w:rPr>
          <w:rFonts w:ascii="宋体" w:eastAsia="宋体" w:hAnsi="宋体"/>
        </w:rPr>
        <w:t>5.1.1 口腔接触时的排斥性</w:t>
      </w:r>
    </w:p>
    <w:p w14:paraId="270F1259" w14:textId="77777777" w:rsidR="002B2174" w:rsidRDefault="009E329E" w:rsidP="006F4A04">
      <w:pPr>
        <w:ind w:firstLineChars="200" w:firstLine="440"/>
        <w:rPr>
          <w:rFonts w:ascii="宋体" w:eastAsia="宋体" w:hAnsi="宋体" w:hint="eastAsia"/>
        </w:rPr>
      </w:pPr>
      <w:r w:rsidRPr="009E329E">
        <w:rPr>
          <w:rFonts w:ascii="宋体" w:eastAsia="宋体" w:hAnsi="宋体"/>
        </w:rPr>
        <w:t>胶囊的可溶膜（即外壁）应含有一种苦味剂（定义？），目的是在口腔接触时能迅速引起排斥反应。这是为了降低在儿童接触到胶囊并将其放入口中的情况下，大量吞食胶囊内液体洗涤剂的可能性。</w:t>
      </w:r>
    </w:p>
    <w:p w14:paraId="27D7CBA4" w14:textId="77777777" w:rsidR="002B2174" w:rsidRDefault="009E329E" w:rsidP="006F4A04">
      <w:pPr>
        <w:ind w:firstLineChars="200" w:firstLine="440"/>
        <w:rPr>
          <w:rFonts w:ascii="宋体" w:eastAsia="宋体" w:hAnsi="宋体" w:hint="eastAsia"/>
        </w:rPr>
      </w:pPr>
      <w:r w:rsidRPr="009E329E">
        <w:rPr>
          <w:rFonts w:ascii="宋体" w:eastAsia="宋体" w:hAnsi="宋体"/>
        </w:rPr>
        <w:t>应选择合适的苦味剂，并确定其含量水平，使得（在目标人群中）与该膜进行口腔接触时，预计在最长 6 秒的中位时间内引发排斥行为。</w:t>
      </w:r>
    </w:p>
    <w:p w14:paraId="036CF26E" w14:textId="77777777" w:rsidR="002B2174" w:rsidRDefault="009E329E" w:rsidP="006F4A04">
      <w:pPr>
        <w:ind w:firstLineChars="200" w:firstLine="440"/>
        <w:rPr>
          <w:rFonts w:ascii="宋体" w:eastAsia="宋体" w:hAnsi="宋体" w:hint="eastAsia"/>
        </w:rPr>
      </w:pPr>
      <w:r w:rsidRPr="009E329E">
        <w:rPr>
          <w:rFonts w:ascii="宋体" w:eastAsia="宋体" w:hAnsi="宋体"/>
        </w:rPr>
        <w:t>这些标准考虑到了个体对苦味剂的敏感度往往存在较大差异，并且一定比例的人</w:t>
      </w:r>
      <w:r w:rsidRPr="009E329E">
        <w:rPr>
          <w:rFonts w:ascii="宋体" w:eastAsia="宋体" w:hAnsi="宋体"/>
        </w:rPr>
        <w:lastRenderedPageBreak/>
        <w:t>群可能对此不敏感（即这些人不会觉得苦味剂有排斥性，例如西伯特和弗鲁德（1991 年）[8] 的研究）。因此，口腔排斥时间要求应适用于人群的中位反应时间，而不是人群中观察到的最长时间。</w:t>
      </w:r>
    </w:p>
    <w:p w14:paraId="33071E81" w14:textId="77777777" w:rsidR="002B2174" w:rsidRDefault="009E329E" w:rsidP="006F4A04">
      <w:pPr>
        <w:ind w:firstLineChars="200" w:firstLine="440"/>
        <w:rPr>
          <w:rFonts w:ascii="宋体" w:eastAsia="宋体" w:hAnsi="宋体" w:hint="eastAsia"/>
        </w:rPr>
      </w:pPr>
      <w:r w:rsidRPr="009E329E">
        <w:rPr>
          <w:rFonts w:ascii="宋体" w:eastAsia="宋体" w:hAnsi="宋体"/>
        </w:rPr>
        <w:t>目标人群主要由 6 岁以下的幼儿组成。出于伦理方面的考虑，无法在这一群体中评估苦味剂的有效性。相反，可以用年轻成年人来进行评估。这是一种保守的方法，因为据报道儿童的味觉比成年人更敏感。婴儿的口腔内大约分布着 30000 个味蕾。到成年时，这些味蕾只剩下大约三分之一，且大多分布在舌头上。例如，门内拉等人（2005 年）[9] 的研究表明，随着年龄的增长，人对苦味的敏感度会降低。因此，可以合理地假设，幼儿的口腔排斥时间至多与年轻成年人相似，但很可能更短。</w:t>
      </w:r>
    </w:p>
    <w:p w14:paraId="70CACAAA" w14:textId="77777777" w:rsidR="002B2174" w:rsidRDefault="009E329E" w:rsidP="006F4A04">
      <w:pPr>
        <w:ind w:firstLineChars="200" w:firstLine="440"/>
        <w:rPr>
          <w:rFonts w:ascii="宋体" w:eastAsia="宋体" w:hAnsi="宋体" w:hint="eastAsia"/>
        </w:rPr>
      </w:pPr>
      <w:r w:rsidRPr="009E329E">
        <w:rPr>
          <w:rFonts w:ascii="宋体" w:eastAsia="宋体" w:hAnsi="宋体"/>
        </w:rPr>
        <w:t>附录 A 给出了一种确定苦味剂有效含量水平的合适方法示例。</w:t>
      </w:r>
    </w:p>
    <w:p w14:paraId="05E31C12" w14:textId="77777777" w:rsidR="002B2174" w:rsidRDefault="009E329E" w:rsidP="006F4A04">
      <w:pPr>
        <w:ind w:firstLineChars="200" w:firstLine="440"/>
        <w:rPr>
          <w:rFonts w:ascii="宋体" w:eastAsia="宋体" w:hAnsi="宋体" w:hint="eastAsia"/>
        </w:rPr>
      </w:pPr>
      <w:r w:rsidRPr="009E329E">
        <w:rPr>
          <w:rFonts w:ascii="宋体" w:eastAsia="宋体" w:hAnsi="宋体"/>
        </w:rPr>
        <w:t>必须证明，在吞食一个胶囊中所含的苦味剂数量的情况下，该苦味剂对人体健康是安全的，并且对环境也是安全的。为了证明对人体和环境的安全性，应采用毒理学和生态毒理学风险评估的原则。人体健康评估应基于产品生命周期内任何时候胶囊中所含苦味剂的最高含量水平，并且应针对目标年龄组（幼儿，包括婴儿）进行调整。环境评估应考虑苦味剂的所有使用情况和排放情况。</w:t>
      </w:r>
    </w:p>
    <w:p w14:paraId="13259DAB" w14:textId="74B89C5A" w:rsidR="009E329E" w:rsidRDefault="009E329E" w:rsidP="006F4A04">
      <w:pPr>
        <w:ind w:firstLineChars="200" w:firstLine="440"/>
        <w:rPr>
          <w:rFonts w:ascii="宋体" w:eastAsia="宋体" w:hAnsi="宋体" w:hint="eastAsia"/>
        </w:rPr>
      </w:pPr>
      <w:r w:rsidRPr="009E329E">
        <w:rPr>
          <w:rFonts w:ascii="宋体" w:eastAsia="宋体" w:hAnsi="宋体"/>
        </w:rPr>
        <w:t>应通过可溶膜的成分信息来证明苦味剂的存在及其含量水平。应记录所选苦味剂在选定含量水平下的有效性和安全性。为此，可以参考已有的研究或信息。这些是设计要求，无需通过性能测试来证实。</w:t>
      </w:r>
    </w:p>
    <w:p w14:paraId="24121A86" w14:textId="77777777" w:rsidR="009E329E" w:rsidRDefault="009E329E">
      <w:pPr>
        <w:rPr>
          <w:rFonts w:ascii="宋体" w:eastAsia="宋体" w:hAnsi="宋体" w:hint="eastAsia"/>
        </w:rPr>
      </w:pPr>
    </w:p>
    <w:p w14:paraId="357D3AED" w14:textId="77777777" w:rsidR="002B2174" w:rsidRDefault="009E329E">
      <w:pPr>
        <w:rPr>
          <w:rFonts w:ascii="宋体" w:eastAsia="宋体" w:hAnsi="宋体" w:hint="eastAsia"/>
        </w:rPr>
      </w:pPr>
      <w:r w:rsidRPr="009E329E">
        <w:rPr>
          <w:rFonts w:ascii="宋体" w:eastAsia="宋体" w:hAnsi="宋体"/>
        </w:rPr>
        <w:t>5.1.2 胶囊完整性</w:t>
      </w:r>
    </w:p>
    <w:p w14:paraId="6E49A632" w14:textId="204A71AA" w:rsidR="009E329E" w:rsidRDefault="009E329E" w:rsidP="006F4A04">
      <w:pPr>
        <w:ind w:firstLineChars="200" w:firstLine="440"/>
        <w:rPr>
          <w:rFonts w:ascii="宋体" w:eastAsia="宋体" w:hAnsi="宋体" w:hint="eastAsia"/>
        </w:rPr>
      </w:pPr>
      <w:r w:rsidRPr="009E329E">
        <w:rPr>
          <w:rFonts w:ascii="宋体" w:eastAsia="宋体" w:hAnsi="宋体"/>
        </w:rPr>
        <w:t>当胶囊完全浸没在水中时，其可溶包装应至少在 30 秒内保持住内部的液体洗涤剂。这应根据第 7.2 节规定的方法进行评估。虽然洗衣液胶囊设计为在洗衣过程中于洗衣机内完全溶解，但它不应在接触湿气或水时过早（换种表述：提前）释放其内容物。这是为了在意外发生口腔接触胶囊的情况时，延缓并理想情况下避免洗涤剂暴露</w:t>
      </w:r>
      <w:r>
        <w:rPr>
          <w:rFonts w:ascii="宋体" w:eastAsia="宋体" w:hAnsi="宋体" w:hint="eastAsia"/>
        </w:rPr>
        <w:t>。</w:t>
      </w:r>
    </w:p>
    <w:p w14:paraId="56857DA9" w14:textId="77777777" w:rsidR="009E329E" w:rsidRPr="009E329E" w:rsidRDefault="009E329E" w:rsidP="006F4A04">
      <w:pPr>
        <w:ind w:firstLineChars="200" w:firstLine="440"/>
        <w:rPr>
          <w:rFonts w:ascii="宋体" w:eastAsia="宋体" w:hAnsi="宋体" w:hint="eastAsia"/>
        </w:rPr>
      </w:pPr>
      <w:r w:rsidRPr="009E329E">
        <w:rPr>
          <w:rFonts w:ascii="宋体" w:eastAsia="宋体" w:hAnsi="宋体"/>
        </w:rPr>
        <w:t>当胶囊受到高达 300 牛顿（N）的压力时，其可溶包装不应释放出内部的液体洗涤剂。这应根据第 7.3 节规定的方法进行评估。</w:t>
      </w:r>
    </w:p>
    <w:p w14:paraId="5A3295DC" w14:textId="77777777" w:rsidR="009E329E" w:rsidRPr="009E329E" w:rsidRDefault="009E329E" w:rsidP="009E329E">
      <w:pPr>
        <w:rPr>
          <w:rFonts w:ascii="宋体" w:eastAsia="宋体" w:hAnsi="宋体" w:hint="eastAsia"/>
        </w:rPr>
      </w:pPr>
    </w:p>
    <w:p w14:paraId="414E23CC" w14:textId="77777777" w:rsidR="002B2174" w:rsidRDefault="009E329E" w:rsidP="009E329E">
      <w:pPr>
        <w:rPr>
          <w:rFonts w:ascii="宋体" w:eastAsia="宋体" w:hAnsi="宋体" w:hint="eastAsia"/>
        </w:rPr>
      </w:pPr>
      <w:r w:rsidRPr="009E329E">
        <w:rPr>
          <w:rFonts w:ascii="宋体" w:eastAsia="宋体" w:hAnsi="宋体"/>
        </w:rPr>
        <w:t>5.2 外包装的特性</w:t>
      </w:r>
    </w:p>
    <w:p w14:paraId="72C9D930" w14:textId="77777777" w:rsidR="002B2174" w:rsidRDefault="009E329E" w:rsidP="009E329E">
      <w:pPr>
        <w:rPr>
          <w:rFonts w:ascii="宋体" w:eastAsia="宋体" w:hAnsi="宋体" w:hint="eastAsia"/>
        </w:rPr>
      </w:pPr>
      <w:r w:rsidRPr="009E329E">
        <w:rPr>
          <w:rFonts w:ascii="宋体" w:eastAsia="宋体" w:hAnsi="宋体"/>
        </w:rPr>
        <w:t>5.2.1 通过外包装对胶囊的可视性</w:t>
      </w:r>
    </w:p>
    <w:p w14:paraId="2AF839E1" w14:textId="77777777" w:rsidR="002B2174" w:rsidRDefault="009E329E" w:rsidP="006F4A04">
      <w:pPr>
        <w:ind w:firstLineChars="200" w:firstLine="440"/>
        <w:rPr>
          <w:rFonts w:ascii="宋体" w:eastAsia="宋体" w:hAnsi="宋体" w:hint="eastAsia"/>
        </w:rPr>
      </w:pPr>
      <w:r w:rsidRPr="009E329E">
        <w:rPr>
          <w:rFonts w:ascii="宋体" w:eastAsia="宋体" w:hAnsi="宋体"/>
        </w:rPr>
        <w:t>外包装应是不透明的或模糊的，或者应采用任何等效的措施，以便遮盖住封闭的外包装内单个洗衣液胶囊的可视性。</w:t>
      </w:r>
    </w:p>
    <w:p w14:paraId="78124DB3" w14:textId="77777777" w:rsidR="002B2174" w:rsidRDefault="009E329E" w:rsidP="006F4A04">
      <w:pPr>
        <w:ind w:firstLineChars="200" w:firstLine="440"/>
        <w:rPr>
          <w:rFonts w:ascii="宋体" w:eastAsia="宋体" w:hAnsi="宋体" w:hint="eastAsia"/>
        </w:rPr>
      </w:pPr>
      <w:r w:rsidRPr="009E329E">
        <w:rPr>
          <w:rFonts w:ascii="宋体" w:eastAsia="宋体" w:hAnsi="宋体"/>
        </w:rPr>
        <w:lastRenderedPageBreak/>
        <w:t>自立袋可以在包装底部设置一个透明的检查窗口，以便进行生产控制（例如，检查是否有泄漏）。这是因为在生产过程中密封的袋子，可能需要在不进行破坏性测试（即打开密封袋）的情况下检查胶囊是否泄漏。该袋子应能自立，并且当袋子放置在水平表面上时，透明检查窗口应不可见。透明检查窗口的大小不应超过检查泄漏所需的尺寸。</w:t>
      </w:r>
    </w:p>
    <w:p w14:paraId="74F0B656" w14:textId="77777777" w:rsidR="002B2174" w:rsidRDefault="009E329E" w:rsidP="006F4A04">
      <w:pPr>
        <w:ind w:firstLineChars="200" w:firstLine="440"/>
        <w:rPr>
          <w:rFonts w:ascii="宋体" w:eastAsia="宋体" w:hAnsi="宋体" w:hint="eastAsia"/>
        </w:rPr>
      </w:pPr>
      <w:r w:rsidRPr="009E329E">
        <w:rPr>
          <w:rFonts w:ascii="宋体" w:eastAsia="宋体" w:hAnsi="宋体"/>
        </w:rPr>
        <w:t>外包装上不应标注任何可能会让人产生外包装是透明或半透明印象的图形，也不应以任何其他方式模仿从外包装上可以看到内部胶囊的视觉效果。</w:t>
      </w:r>
    </w:p>
    <w:p w14:paraId="24458C4D" w14:textId="77777777" w:rsidR="002B2174" w:rsidRDefault="009E329E" w:rsidP="009E329E">
      <w:pPr>
        <w:rPr>
          <w:rFonts w:ascii="宋体" w:eastAsia="宋体" w:hAnsi="宋体" w:hint="eastAsia"/>
        </w:rPr>
      </w:pPr>
      <w:r w:rsidRPr="009E329E">
        <w:rPr>
          <w:rFonts w:ascii="宋体" w:eastAsia="宋体" w:hAnsi="宋体"/>
        </w:rPr>
        <w:t>5.2.2 幼儿打开包装的能力</w:t>
      </w:r>
    </w:p>
    <w:p w14:paraId="1B069206" w14:textId="77777777" w:rsidR="002B2174" w:rsidRDefault="009E329E" w:rsidP="006F4A04">
      <w:pPr>
        <w:ind w:firstLineChars="200" w:firstLine="440"/>
        <w:rPr>
          <w:rFonts w:ascii="宋体" w:eastAsia="宋体" w:hAnsi="宋体" w:hint="eastAsia"/>
        </w:rPr>
      </w:pPr>
      <w:r w:rsidRPr="009E329E">
        <w:rPr>
          <w:rFonts w:ascii="宋体" w:eastAsia="宋体" w:hAnsi="宋体"/>
        </w:rPr>
        <w:t>洗衣液胶囊应装在封闭的外包装内。</w:t>
      </w:r>
    </w:p>
    <w:p w14:paraId="0B8214F4" w14:textId="77777777" w:rsidR="002B2174" w:rsidRDefault="009E329E" w:rsidP="006F4A04">
      <w:pPr>
        <w:ind w:firstLineChars="200" w:firstLine="440"/>
        <w:rPr>
          <w:rFonts w:ascii="宋体" w:eastAsia="宋体" w:hAnsi="宋体" w:hint="eastAsia"/>
        </w:rPr>
      </w:pPr>
      <w:r w:rsidRPr="009E329E">
        <w:rPr>
          <w:rFonts w:ascii="宋体" w:eastAsia="宋体" w:hAnsi="宋体"/>
        </w:rPr>
        <w:t>外包装应配备一种封口装置，这种装置应能阻碍幼儿（定义？儿童防开启封口装置，CIC），尤其是 3 岁以下幼儿打开包装的能力。此外，外包装应具有足够的坚固性，以防止幼儿通过除按预期使用封口装置以外的任何其他可能方式打开包装。</w:t>
      </w:r>
    </w:p>
    <w:p w14:paraId="1EA94340" w14:textId="4542E5C0" w:rsidR="002B2174" w:rsidRDefault="009E329E" w:rsidP="006F4A04">
      <w:pPr>
        <w:ind w:firstLineChars="200" w:firstLine="440"/>
        <w:rPr>
          <w:rFonts w:ascii="宋体" w:eastAsia="宋体" w:hAnsi="宋体" w:hint="eastAsia"/>
        </w:rPr>
      </w:pPr>
      <w:r w:rsidRPr="009E329E">
        <w:rPr>
          <w:rFonts w:ascii="宋体" w:eastAsia="宋体" w:hAnsi="宋体"/>
        </w:rPr>
        <w:t>外包装的封口系统应便于成年人打开。外包装应能被成年人轻松重新关闭（仅装有单个洗衣液胶囊的外包装除外）。重新关闭应能通过一个简单动作完成，且无需耗费大量力气、灵活性或智力。这些要求是为了确保在使用后没有理由让包装处于打开状态。</w:t>
      </w:r>
      <w:r w:rsidRPr="009E329E">
        <w:rPr>
          <w:rFonts w:ascii="宋体" w:eastAsia="宋体" w:hAnsi="宋体"/>
        </w:rPr>
        <w:br/>
      </w:r>
      <w:r w:rsidR="006F4A04">
        <w:rPr>
          <w:rFonts w:ascii="宋体" w:eastAsia="宋体" w:hAnsi="宋体" w:hint="eastAsia"/>
        </w:rPr>
        <w:t xml:space="preserve">    </w:t>
      </w:r>
      <w:r w:rsidRPr="009E329E">
        <w:rPr>
          <w:rFonts w:ascii="宋体" w:eastAsia="宋体" w:hAnsi="宋体"/>
        </w:rPr>
        <w:t>可以采用不同的设计方法来实现外包装的防儿童开启特性。在这些方法中，一个普遍的考虑因素是，成年人和儿童之间的主要区别在于心智能力、逻辑思维和灵活性，而并非单纯的力气大小。手部的人体测量学特征也可能与之相关。</w:t>
      </w:r>
    </w:p>
    <w:p w14:paraId="01CFEAB4" w14:textId="77777777" w:rsidR="006F4A04" w:rsidRDefault="006F4A04" w:rsidP="006F4A04">
      <w:pPr>
        <w:ind w:firstLineChars="200" w:firstLine="440"/>
        <w:rPr>
          <w:rFonts w:ascii="宋体" w:eastAsia="宋体" w:hAnsi="宋体" w:hint="eastAsia"/>
        </w:rPr>
      </w:pPr>
      <w:r w:rsidRPr="006F4A04">
        <w:rPr>
          <w:rFonts w:ascii="宋体" w:eastAsia="宋体" w:hAnsi="宋体"/>
        </w:rPr>
        <w:t>外包装的防儿童开启功能应在其整个设计使用期限内始终得以保持。对于不打算重新装填的外包装，其防儿童开启功能应至少在与该外包装所能容纳的洗衣液胶囊数量相同次数的开启和重新关闭循环过程中都能维持。而对于打算重新装填的外包装，这一防儿童开启功能需维持的开启和重新关闭循环次数则必须乘以预计重新装填该包装的最大次数。</w:t>
      </w:r>
    </w:p>
    <w:p w14:paraId="4FAF9572" w14:textId="75DB4A5B" w:rsidR="009E329E" w:rsidRDefault="00974C5E" w:rsidP="006F4A04">
      <w:pPr>
        <w:ind w:firstLineChars="200" w:firstLine="440"/>
        <w:rPr>
          <w:rFonts w:ascii="宋体" w:eastAsia="宋体" w:hAnsi="宋体" w:hint="eastAsia"/>
        </w:rPr>
      </w:pPr>
      <w:r w:rsidRPr="00974C5E">
        <w:rPr>
          <w:rFonts w:ascii="宋体" w:eastAsia="宋体" w:hAnsi="宋体"/>
        </w:rPr>
        <w:t>外包装及其封口系统被认为符合上述要求的依据应得到充分记录。这些是设计要求，无需通过性能测试来证实。</w:t>
      </w:r>
    </w:p>
    <w:p w14:paraId="66DEA2FC" w14:textId="77777777" w:rsidR="00D45A6E" w:rsidRPr="00D45A6E" w:rsidRDefault="00D45A6E" w:rsidP="00D45A6E">
      <w:pPr>
        <w:rPr>
          <w:rFonts w:ascii="宋体" w:eastAsia="宋体" w:hAnsi="宋体" w:hint="eastAsia"/>
        </w:rPr>
      </w:pPr>
      <w:r w:rsidRPr="00D45A6E">
        <w:rPr>
          <w:rFonts w:ascii="宋体" w:eastAsia="宋体" w:hAnsi="宋体" w:hint="eastAsia"/>
        </w:rPr>
        <w:t>6 抽样</w:t>
      </w:r>
    </w:p>
    <w:p w14:paraId="061F8600" w14:textId="77777777" w:rsidR="00D45A6E" w:rsidRPr="00D45A6E" w:rsidRDefault="00D45A6E" w:rsidP="006F4A04">
      <w:pPr>
        <w:ind w:firstLineChars="200" w:firstLine="440"/>
        <w:rPr>
          <w:rFonts w:ascii="宋体" w:eastAsia="宋体" w:hAnsi="宋体" w:hint="eastAsia"/>
        </w:rPr>
      </w:pPr>
      <w:r w:rsidRPr="00D45A6E">
        <w:rPr>
          <w:rFonts w:ascii="宋体" w:eastAsia="宋体" w:hAnsi="宋体" w:hint="eastAsia"/>
        </w:rPr>
        <w:t>在进行市场抽检时，用于评估胶囊完整性的洗衣液胶囊样品，应从封闭且未被开封过的原始包装中抽取。</w:t>
      </w:r>
    </w:p>
    <w:p w14:paraId="0264696C" w14:textId="77777777" w:rsidR="00D45A6E" w:rsidRPr="00D45A6E" w:rsidRDefault="00D45A6E" w:rsidP="00D45A6E">
      <w:pPr>
        <w:rPr>
          <w:rFonts w:ascii="宋体" w:eastAsia="宋体" w:hAnsi="宋体" w:hint="eastAsia"/>
        </w:rPr>
      </w:pPr>
      <w:r w:rsidRPr="00D45A6E">
        <w:rPr>
          <w:rFonts w:ascii="宋体" w:eastAsia="宋体" w:hAnsi="宋体" w:hint="eastAsia"/>
        </w:rPr>
        <w:t>7 试验方法</w:t>
      </w:r>
    </w:p>
    <w:p w14:paraId="612D0948" w14:textId="77777777" w:rsidR="00D45A6E" w:rsidRPr="00D45A6E" w:rsidRDefault="00D45A6E" w:rsidP="006F4A04">
      <w:pPr>
        <w:ind w:firstLineChars="200" w:firstLine="440"/>
        <w:rPr>
          <w:rFonts w:ascii="宋体" w:eastAsia="宋体" w:hAnsi="宋体" w:hint="eastAsia"/>
        </w:rPr>
      </w:pPr>
      <w:r w:rsidRPr="00D45A6E">
        <w:rPr>
          <w:rFonts w:ascii="宋体" w:eastAsia="宋体" w:hAnsi="宋体" w:hint="eastAsia"/>
        </w:rPr>
        <w:t>此处的试验方法用于评估胶囊在与水接触时以及受到挤压时的完整性。这些试验适用于产品和工艺设计的评估、质量控制目的，以及市场合规性检查。（需对薄膜中 “苦味剂” 相关内容做说明）。</w:t>
      </w:r>
    </w:p>
    <w:p w14:paraId="17CA0014" w14:textId="77777777" w:rsidR="00D45A6E" w:rsidRPr="00D45A6E" w:rsidRDefault="00D45A6E" w:rsidP="006F4A04">
      <w:pPr>
        <w:ind w:firstLineChars="200" w:firstLine="440"/>
        <w:rPr>
          <w:rFonts w:ascii="宋体" w:eastAsia="宋体" w:hAnsi="宋体" w:hint="eastAsia"/>
        </w:rPr>
      </w:pPr>
      <w:r w:rsidRPr="00D45A6E">
        <w:rPr>
          <w:rFonts w:ascii="宋体" w:eastAsia="宋体" w:hAnsi="宋体" w:hint="eastAsia"/>
        </w:rPr>
        <w:lastRenderedPageBreak/>
        <w:t>对于每次评估，样品胶囊都需经受极限测试条件。单个测试的结果要么是 “通过”（即在极限条件下未出现内容物泄漏的情况），要么是 “不通过”（即在达到或未超过极限条件时出现内容物泄漏的情况）。</w:t>
      </w:r>
    </w:p>
    <w:p w14:paraId="3B71BF7B" w14:textId="77777777" w:rsidR="00D45A6E" w:rsidRPr="00D45A6E" w:rsidRDefault="00D45A6E" w:rsidP="00D45A6E">
      <w:pPr>
        <w:rPr>
          <w:rFonts w:ascii="宋体" w:eastAsia="宋体" w:hAnsi="宋体" w:hint="eastAsia"/>
        </w:rPr>
      </w:pPr>
      <w:r w:rsidRPr="00D45A6E">
        <w:rPr>
          <w:rFonts w:ascii="宋体" w:eastAsia="宋体" w:hAnsi="宋体" w:hint="eastAsia"/>
        </w:rPr>
        <w:t>7.1 预处理</w:t>
      </w:r>
    </w:p>
    <w:p w14:paraId="15CB9EB6" w14:textId="77777777" w:rsidR="00D45A6E" w:rsidRPr="00D45A6E" w:rsidRDefault="00D45A6E" w:rsidP="000137DC">
      <w:pPr>
        <w:ind w:firstLineChars="200" w:firstLine="440"/>
        <w:rPr>
          <w:rFonts w:ascii="宋体" w:eastAsia="宋体" w:hAnsi="宋体" w:hint="eastAsia"/>
        </w:rPr>
      </w:pPr>
      <w:r w:rsidRPr="00D45A6E">
        <w:rPr>
          <w:rFonts w:ascii="宋体" w:eastAsia="宋体" w:hAnsi="宋体" w:hint="eastAsia"/>
        </w:rPr>
        <w:t>为确保测试的可重复性，样品胶囊应在原始外包装打开并暴露于温度在 18°C 至 25°C 之间、相对湿度为 50±2% 的环境中进行至少 24 小时的预处理后，立即进行测试。</w:t>
      </w:r>
    </w:p>
    <w:p w14:paraId="3F947B77" w14:textId="77777777" w:rsidR="00D45A6E" w:rsidRPr="00D45A6E" w:rsidRDefault="00D45A6E" w:rsidP="00D45A6E">
      <w:pPr>
        <w:rPr>
          <w:rFonts w:ascii="宋体" w:eastAsia="宋体" w:hAnsi="宋体" w:hint="eastAsia"/>
        </w:rPr>
      </w:pPr>
      <w:r w:rsidRPr="00D45A6E">
        <w:rPr>
          <w:rFonts w:ascii="宋体" w:eastAsia="宋体" w:hAnsi="宋体" w:hint="eastAsia"/>
        </w:rPr>
        <w:t>7.2 与水接触时胶囊的完整性</w:t>
      </w:r>
    </w:p>
    <w:p w14:paraId="3E516BC8" w14:textId="77777777" w:rsidR="00D45A6E" w:rsidRPr="00D45A6E" w:rsidRDefault="00D45A6E" w:rsidP="000137DC">
      <w:pPr>
        <w:ind w:firstLineChars="200" w:firstLine="440"/>
        <w:rPr>
          <w:rFonts w:ascii="宋体" w:eastAsia="宋体" w:hAnsi="宋体" w:hint="eastAsia"/>
        </w:rPr>
      </w:pPr>
      <w:r w:rsidRPr="00D45A6E">
        <w:rPr>
          <w:rFonts w:ascii="宋体" w:eastAsia="宋体" w:hAnsi="宋体" w:hint="eastAsia"/>
        </w:rPr>
        <w:t>将一个容量足够的透明无色玻璃烧杯中装入至少 1 升的去离子水。水温应稳定在 20±1°C。水不应被搅动或搅拌。</w:t>
      </w:r>
    </w:p>
    <w:p w14:paraId="146521B6" w14:textId="33EE6500" w:rsidR="00D45A6E" w:rsidRDefault="00D45A6E" w:rsidP="000137DC">
      <w:pPr>
        <w:ind w:firstLineChars="200" w:firstLine="440"/>
        <w:rPr>
          <w:rFonts w:ascii="宋体" w:eastAsia="宋体" w:hAnsi="宋体" w:hint="eastAsia"/>
        </w:rPr>
      </w:pPr>
      <w:r w:rsidRPr="00D45A6E">
        <w:rPr>
          <w:rFonts w:ascii="宋体" w:eastAsia="宋体" w:hAnsi="宋体" w:hint="eastAsia"/>
        </w:rPr>
        <w:t>将一个经过预处理的胶囊轻轻放入烧杯中，直至其被完全浸没。在整个测试过程中，胶囊的各个面都应被水包围（完全浸没）。如果胶囊的密度使其漂浮或下沉，则应将胶囊放置在一个能防止其漂浮或下沉的装置内（例如，金属笼子、网袋或类似装置），并且该装置应便于进行目视观察。图 1 展示了此类装置的一个示例（不具规范性）</w:t>
      </w:r>
      <w:r>
        <w:rPr>
          <w:rFonts w:ascii="宋体" w:eastAsia="宋体" w:hAnsi="宋体" w:hint="eastAsia"/>
        </w:rPr>
        <w:t>。</w:t>
      </w:r>
    </w:p>
    <w:p w14:paraId="75D54DEB" w14:textId="29BB2233" w:rsidR="00D45A6E" w:rsidRDefault="00862B65" w:rsidP="000137DC">
      <w:pPr>
        <w:jc w:val="center"/>
        <w:rPr>
          <w:rFonts w:ascii="宋体" w:eastAsia="宋体" w:hAnsi="宋体" w:hint="eastAsia"/>
        </w:rPr>
      </w:pPr>
      <w:r>
        <w:rPr>
          <w:noProof/>
        </w:rPr>
        <w:drawing>
          <wp:inline distT="0" distB="0" distL="0" distR="0" wp14:anchorId="0B1BD200" wp14:editId="45540AD0">
            <wp:extent cx="2400300" cy="2476500"/>
            <wp:effectExtent l="0" t="0" r="0" b="0"/>
            <wp:docPr id="11229566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956615" name=""/>
                    <pic:cNvPicPr/>
                  </pic:nvPicPr>
                  <pic:blipFill>
                    <a:blip r:embed="rId10"/>
                    <a:stretch>
                      <a:fillRect/>
                    </a:stretch>
                  </pic:blipFill>
                  <pic:spPr>
                    <a:xfrm>
                      <a:off x="0" y="0"/>
                      <a:ext cx="2400300" cy="2476500"/>
                    </a:xfrm>
                    <a:prstGeom prst="rect">
                      <a:avLst/>
                    </a:prstGeom>
                  </pic:spPr>
                </pic:pic>
              </a:graphicData>
            </a:graphic>
          </wp:inline>
        </w:drawing>
      </w:r>
    </w:p>
    <w:p w14:paraId="34A4D16C" w14:textId="596B41A8" w:rsidR="00862B65" w:rsidRDefault="00862B65" w:rsidP="000137DC">
      <w:pPr>
        <w:jc w:val="center"/>
        <w:rPr>
          <w:rFonts w:ascii="宋体" w:eastAsia="宋体" w:hAnsi="宋体" w:hint="eastAsia"/>
        </w:rPr>
      </w:pPr>
      <w:r w:rsidRPr="00862B65">
        <w:rPr>
          <w:rFonts w:ascii="宋体" w:eastAsia="宋体" w:hAnsi="宋体"/>
        </w:rPr>
        <w:t>图 1. 用于防止胶囊漂浮或下沉的金属笼子示例。</w:t>
      </w:r>
    </w:p>
    <w:p w14:paraId="4B0568F1" w14:textId="77777777" w:rsidR="002B2174" w:rsidRDefault="00862B65" w:rsidP="000137DC">
      <w:pPr>
        <w:ind w:firstLineChars="200" w:firstLine="440"/>
        <w:rPr>
          <w:rFonts w:ascii="宋体" w:eastAsia="宋体" w:hAnsi="宋体" w:hint="eastAsia"/>
        </w:rPr>
      </w:pPr>
      <w:r w:rsidRPr="00862B65">
        <w:rPr>
          <w:rFonts w:ascii="宋体" w:eastAsia="宋体" w:hAnsi="宋体"/>
        </w:rPr>
        <w:t>一旦胶囊被浸没，应立即启动一个 30 秒的计时器。在 30 秒内，应仔细观察胶囊，查看是否有任何从胶囊中释放出液体的可视迹象。如果在这 30 秒的浸没过程中，胶囊没有液体内容物释放出来，则该单个胶囊成功通过测试。</w:t>
      </w:r>
    </w:p>
    <w:p w14:paraId="4D3FFC6E" w14:textId="77777777" w:rsidR="002B2174" w:rsidRDefault="00862B65" w:rsidP="00D45A6E">
      <w:pPr>
        <w:rPr>
          <w:rFonts w:ascii="宋体" w:eastAsia="宋体" w:hAnsi="宋体" w:hint="eastAsia"/>
        </w:rPr>
      </w:pPr>
      <w:r w:rsidRPr="00862B65">
        <w:rPr>
          <w:rFonts w:ascii="宋体" w:eastAsia="宋体" w:hAnsi="宋体"/>
        </w:rPr>
        <w:t>7.3 受到挤压时胶囊的完整性</w:t>
      </w:r>
    </w:p>
    <w:p w14:paraId="46D130F3" w14:textId="067558C8" w:rsidR="002B2174" w:rsidRDefault="00862B65" w:rsidP="000137DC">
      <w:pPr>
        <w:ind w:firstLineChars="200" w:firstLine="440"/>
        <w:rPr>
          <w:rFonts w:ascii="宋体" w:eastAsia="宋体" w:hAnsi="宋体" w:hint="eastAsia"/>
        </w:rPr>
      </w:pPr>
      <w:r w:rsidRPr="00862B65">
        <w:rPr>
          <w:rFonts w:ascii="宋体" w:eastAsia="宋体" w:hAnsi="宋体"/>
        </w:rPr>
        <w:t>使用一个经过预处理的胶囊进行的挤压测试，应在与预处理环境类似的条件下进行。</w:t>
      </w:r>
      <w:r w:rsidRPr="00862B65">
        <w:rPr>
          <w:rFonts w:ascii="宋体" w:eastAsia="宋体" w:hAnsi="宋体"/>
        </w:rPr>
        <w:br/>
      </w:r>
      <w:r w:rsidR="000137DC">
        <w:rPr>
          <w:rFonts w:ascii="宋体" w:eastAsia="宋体" w:hAnsi="宋体" w:hint="eastAsia"/>
        </w:rPr>
        <w:t xml:space="preserve">    </w:t>
      </w:r>
      <w:r w:rsidRPr="00862B65">
        <w:rPr>
          <w:rFonts w:ascii="宋体" w:eastAsia="宋体" w:hAnsi="宋体"/>
        </w:rPr>
        <w:t>测试应使用一台配备有两块平行水平板的测力仪器进行，这两块板能够以设定的</w:t>
      </w:r>
      <w:r w:rsidRPr="00862B65">
        <w:rPr>
          <w:rFonts w:ascii="宋体" w:eastAsia="宋体" w:hAnsi="宋体"/>
        </w:rPr>
        <w:lastRenderedPageBreak/>
        <w:t>恒定速度相互靠近，同时能够测量并追踪两板之间施加的力。该仪器的平板直径应至少是测试样品最大横截面的两倍。当对放置在两板之间的测试样品施加挤压力时，两板应始终保持相互平行：除了相互靠近的运动外，平板不应发生倾斜或其他运动。力的测量范围应从 0 牛顿到至少 300 牛顿。</w:t>
      </w:r>
    </w:p>
    <w:p w14:paraId="3D764313" w14:textId="624FA355" w:rsidR="00862B65" w:rsidRDefault="00862B65" w:rsidP="000137DC">
      <w:pPr>
        <w:ind w:firstLineChars="200" w:firstLine="440"/>
        <w:rPr>
          <w:rFonts w:ascii="宋体" w:eastAsia="宋体" w:hAnsi="宋体" w:hint="eastAsia"/>
        </w:rPr>
      </w:pPr>
      <w:r w:rsidRPr="00862B65">
        <w:rPr>
          <w:rFonts w:ascii="宋体" w:eastAsia="宋体" w:hAnsi="宋体"/>
        </w:rPr>
        <w:t>应采取措施确保在挤压测试过程中，操作人员不会受到在测试胶囊释放其液体内容物时可能发生的任何溢出或飞溅物的伤害。例如，这可以通过将测试胶囊放置在一个透明塑料袋内，或者对测力仪器进行防护来实现。如果将胶囊放置在一个透明塑料袋内，该塑料袋的厚度最大应为 100 微米；袋子不应密封，以便在挤压测试过程中袋内不会产生压力；胶囊应放置在袋子内合适的位置，使得胶囊的边缘不靠近袋子的边缘，以确保袋子不会阻碍胶囊的变形。</w:t>
      </w:r>
    </w:p>
    <w:p w14:paraId="5D32E652" w14:textId="0B2A9FDC" w:rsidR="00862B65" w:rsidRDefault="00862B65" w:rsidP="000137DC">
      <w:pPr>
        <w:ind w:firstLineChars="200" w:firstLine="440"/>
        <w:rPr>
          <w:rFonts w:ascii="宋体" w:eastAsia="宋体" w:hAnsi="宋体" w:hint="eastAsia"/>
        </w:rPr>
      </w:pPr>
      <w:r w:rsidRPr="00862B65">
        <w:rPr>
          <w:rFonts w:ascii="宋体" w:eastAsia="宋体" w:hAnsi="宋体"/>
        </w:rPr>
        <w:t>应将胶囊放置在测力仪器的两块水平平板之间，使胶囊以其最大的表面接触平板，并放置在底板中心附近。平板应相互靠近，直至顶板几乎接触到胶囊（例如，平板与胶囊之间留有 1 毫米的距离）。随后，平板应以恒定的速度继续相互靠近，使被测试的胶囊在两块平板之间受到逐渐增大的挤压力。在实验过程中，挤压速度应保持恒定，且应在 225±25 毫米 / 分钟的范围内。在仔细观察胶囊是否有液体内容物释放的同时，监测逐渐增大的挤压力，直至达到 300 牛顿，或者如果胶囊已经释放出液体内容物，则监测到较低的力值为止。如果在挤压力达到 300 牛顿的过程中，胶囊没有液体洗涤剂内容物释放出来，则该单个胶囊成功通过测试。当达到 300 牛顿的挤压力时，测试即完成。</w:t>
      </w:r>
    </w:p>
    <w:p w14:paraId="592876EB" w14:textId="77777777" w:rsidR="002B2174" w:rsidRDefault="00862B65" w:rsidP="00862B65">
      <w:pPr>
        <w:rPr>
          <w:rFonts w:ascii="宋体" w:eastAsia="宋体" w:hAnsi="宋体" w:hint="eastAsia"/>
        </w:rPr>
      </w:pPr>
      <w:r w:rsidRPr="00862B65">
        <w:rPr>
          <w:rFonts w:ascii="宋体" w:eastAsia="宋体" w:hAnsi="宋体"/>
        </w:rPr>
        <w:t>7.4 胶囊完整性测试结果的解释</w:t>
      </w:r>
    </w:p>
    <w:p w14:paraId="1A5531BD" w14:textId="77777777" w:rsidR="002B2174" w:rsidRDefault="00862B65" w:rsidP="000137DC">
      <w:pPr>
        <w:ind w:firstLineChars="200" w:firstLine="440"/>
        <w:rPr>
          <w:rFonts w:ascii="宋体" w:eastAsia="宋体" w:hAnsi="宋体" w:hint="eastAsia"/>
        </w:rPr>
      </w:pPr>
      <w:r w:rsidRPr="00862B65">
        <w:rPr>
          <w:rFonts w:ascii="宋体" w:eastAsia="宋体" w:hAnsi="宋体"/>
        </w:rPr>
        <w:t>应测试足够数量的样品胶囊，以确定某一批次是否不符合胶囊完整性标准。为此，应应用 ISO 2859-4 标准，规定的质量水平为最大不超过 5% 的不合格品率。在第 2 检验水平（即最多允许观察到 2 个缺陷的极限数）下，这意味着所需的样本量 n = 16。因此，从统计学角度来说，如果 16 个被测试的样品胶囊中发现的缺陷数量大于 2，则测试结果与规定的质量水平相矛盾；而如果缺陷数量小于或等于 2，则规定的质量水平未被否定。</w:t>
      </w:r>
    </w:p>
    <w:p w14:paraId="1850425F" w14:textId="77777777" w:rsidR="002B2174" w:rsidRDefault="00862B65" w:rsidP="00862B65">
      <w:pPr>
        <w:rPr>
          <w:rFonts w:ascii="宋体" w:eastAsia="宋体" w:hAnsi="宋体" w:hint="eastAsia"/>
        </w:rPr>
      </w:pPr>
      <w:r w:rsidRPr="00862B65">
        <w:rPr>
          <w:rFonts w:ascii="宋体" w:eastAsia="宋体" w:hAnsi="宋体"/>
        </w:rPr>
        <w:t>8 测试报告</w:t>
      </w:r>
    </w:p>
    <w:p w14:paraId="5938B750" w14:textId="77777777" w:rsidR="002B2174" w:rsidRDefault="00862B65" w:rsidP="00862B65">
      <w:pPr>
        <w:rPr>
          <w:rFonts w:ascii="宋体" w:eastAsia="宋体" w:hAnsi="宋体" w:hint="eastAsia"/>
        </w:rPr>
      </w:pPr>
      <w:r w:rsidRPr="00862B65">
        <w:rPr>
          <w:rFonts w:ascii="宋体" w:eastAsia="宋体" w:hAnsi="宋体"/>
        </w:rPr>
        <w:t>对于每种测试方法，测试报告至少应明确规定以下内容：</w:t>
      </w:r>
    </w:p>
    <w:p w14:paraId="671A07FC" w14:textId="6FDD63CF" w:rsidR="00862B65" w:rsidRPr="00862B65" w:rsidRDefault="00862B65" w:rsidP="00862B65">
      <w:pPr>
        <w:rPr>
          <w:rFonts w:ascii="宋体" w:eastAsia="宋体" w:hAnsi="宋体" w:hint="eastAsia"/>
        </w:rPr>
      </w:pPr>
      <w:r w:rsidRPr="00862B65">
        <w:rPr>
          <w:rFonts w:ascii="宋体" w:eastAsia="宋体" w:hAnsi="宋体"/>
        </w:rPr>
        <w:t>（1）用于完整识别样品的所有必要信息；</w:t>
      </w:r>
      <w:r w:rsidRPr="00862B65">
        <w:rPr>
          <w:rFonts w:ascii="宋体" w:eastAsia="宋体" w:hAnsi="宋体"/>
        </w:rPr>
        <w:br/>
        <w:t>（2）对本文件的引用（即 ISO 标准编号）；</w:t>
      </w:r>
      <w:r w:rsidRPr="00862B65">
        <w:rPr>
          <w:rFonts w:ascii="宋体" w:eastAsia="宋体" w:hAnsi="宋体"/>
        </w:rPr>
        <w:br/>
        <w:t>（3）抽样方法（如适用）；</w:t>
      </w:r>
      <w:r w:rsidRPr="00862B65">
        <w:rPr>
          <w:rFonts w:ascii="宋体" w:eastAsia="宋体" w:hAnsi="宋体"/>
        </w:rPr>
        <w:br/>
        <w:t>（4）所使用的测试方法；</w:t>
      </w:r>
      <w:r w:rsidRPr="00862B65">
        <w:rPr>
          <w:rFonts w:ascii="宋体" w:eastAsia="宋体" w:hAnsi="宋体"/>
        </w:rPr>
        <w:br/>
        <w:t>（5）获得的测试结果（即测试的胶囊数量、未通过测试的胶囊数量，以及基于 ISO 2859-4 标准的结果解释）；</w:t>
      </w:r>
      <w:r w:rsidRPr="00862B65">
        <w:rPr>
          <w:rFonts w:ascii="宋体" w:eastAsia="宋体" w:hAnsi="宋体"/>
        </w:rPr>
        <w:br/>
        <w:t>（6）本文件中未规定的或被视为可选的所有操作细节，以及任何可能影响测试结果的</w:t>
      </w:r>
      <w:r w:rsidRPr="00862B65">
        <w:rPr>
          <w:rFonts w:ascii="宋体" w:eastAsia="宋体" w:hAnsi="宋体"/>
        </w:rPr>
        <w:lastRenderedPageBreak/>
        <w:t>事件的详细信息；</w:t>
      </w:r>
      <w:r w:rsidRPr="00862B65">
        <w:rPr>
          <w:rFonts w:ascii="宋体" w:eastAsia="宋体" w:hAnsi="宋体"/>
        </w:rPr>
        <w:br/>
        <w:t>（7）测试过程中观察到的任何异常特征（异常情况）；</w:t>
      </w:r>
      <w:r w:rsidRPr="00862B65">
        <w:rPr>
          <w:rFonts w:ascii="宋体" w:eastAsia="宋体" w:hAnsi="宋体"/>
        </w:rPr>
        <w:br/>
        <w:t>（8）测试日期。</w:t>
      </w:r>
    </w:p>
    <w:p w14:paraId="3C57B520" w14:textId="2E85197D" w:rsidR="00862B65" w:rsidRDefault="00862B65">
      <w:pPr>
        <w:widowControl/>
        <w:rPr>
          <w:rFonts w:ascii="宋体" w:eastAsia="宋体" w:hAnsi="宋体" w:hint="eastAsia"/>
        </w:rPr>
      </w:pPr>
      <w:r>
        <w:rPr>
          <w:rFonts w:ascii="宋体" w:eastAsia="宋体" w:hAnsi="宋体" w:hint="eastAsia"/>
        </w:rPr>
        <w:br w:type="page"/>
      </w:r>
    </w:p>
    <w:p w14:paraId="1D0FFEED" w14:textId="77777777" w:rsidR="002B2174" w:rsidRDefault="00862B65" w:rsidP="000137DC">
      <w:pPr>
        <w:jc w:val="center"/>
        <w:rPr>
          <w:rFonts w:ascii="宋体" w:eastAsia="宋体" w:hAnsi="宋体" w:hint="eastAsia"/>
        </w:rPr>
      </w:pPr>
      <w:r w:rsidRPr="00862B65">
        <w:rPr>
          <w:rFonts w:ascii="宋体" w:eastAsia="宋体" w:hAnsi="宋体"/>
        </w:rPr>
        <w:lastRenderedPageBreak/>
        <w:t>附录 A（可能包含第 5.1.1 节中的部分内容）</w:t>
      </w:r>
    </w:p>
    <w:p w14:paraId="00E093D3" w14:textId="09B37AE1" w:rsidR="002B2174" w:rsidRDefault="00862B65" w:rsidP="000137DC">
      <w:pPr>
        <w:jc w:val="center"/>
        <w:rPr>
          <w:rFonts w:ascii="宋体" w:eastAsia="宋体" w:hAnsi="宋体" w:hint="eastAsia"/>
        </w:rPr>
      </w:pPr>
      <w:r w:rsidRPr="00862B65">
        <w:rPr>
          <w:rFonts w:ascii="宋体" w:eastAsia="宋体" w:hAnsi="宋体"/>
        </w:rPr>
        <w:t>（资料性附录）111</w:t>
      </w:r>
    </w:p>
    <w:p w14:paraId="14BA1488" w14:textId="77777777" w:rsidR="000137DC" w:rsidRDefault="00862B65" w:rsidP="000137DC">
      <w:pPr>
        <w:jc w:val="center"/>
        <w:rPr>
          <w:rFonts w:ascii="宋体" w:eastAsia="宋体" w:hAnsi="宋体" w:hint="eastAsia"/>
        </w:rPr>
      </w:pPr>
      <w:r w:rsidRPr="00862B65">
        <w:rPr>
          <w:rFonts w:ascii="宋体" w:eastAsia="宋体" w:hAnsi="宋体"/>
        </w:rPr>
        <w:t>洗衣液胶囊可溶膜中苦味剂有效性的评估</w:t>
      </w:r>
    </w:p>
    <w:p w14:paraId="38689634" w14:textId="5A01DE4D" w:rsidR="002B2174" w:rsidRDefault="00862B65" w:rsidP="000137DC">
      <w:pPr>
        <w:rPr>
          <w:rFonts w:ascii="宋体" w:eastAsia="宋体" w:hAnsi="宋体" w:hint="eastAsia"/>
        </w:rPr>
      </w:pPr>
      <w:r w:rsidRPr="00862B65">
        <w:rPr>
          <w:rFonts w:ascii="宋体" w:eastAsia="宋体" w:hAnsi="宋体"/>
        </w:rPr>
        <w:t>A.1 目的</w:t>
      </w:r>
    </w:p>
    <w:p w14:paraId="053DC83B" w14:textId="77777777" w:rsidR="002B2174" w:rsidRDefault="00862B65" w:rsidP="000137DC">
      <w:pPr>
        <w:ind w:firstLineChars="200" w:firstLine="440"/>
        <w:rPr>
          <w:rFonts w:ascii="宋体" w:eastAsia="宋体" w:hAnsi="宋体" w:hint="eastAsia"/>
        </w:rPr>
      </w:pPr>
      <w:r w:rsidRPr="00862B65">
        <w:rPr>
          <w:rFonts w:ascii="宋体" w:eastAsia="宋体" w:hAnsi="宋体"/>
        </w:rPr>
        <w:t>本测试的目的是确定特定可溶包装膜中所含特定苦味剂的有效性。研究苦味剂含量水平与观察到的口腔排斥时间之间的剂量 - 反应关系。据此，确定预期能使排斥时间在 6 秒以内的苦味剂含量水平。</w:t>
      </w:r>
    </w:p>
    <w:p w14:paraId="2747C177" w14:textId="77777777" w:rsidR="002B2174" w:rsidRDefault="00862B65" w:rsidP="00862B65">
      <w:pPr>
        <w:rPr>
          <w:rFonts w:ascii="宋体" w:eastAsia="宋体" w:hAnsi="宋体" w:hint="eastAsia"/>
        </w:rPr>
      </w:pPr>
      <w:r w:rsidRPr="00862B65">
        <w:rPr>
          <w:rFonts w:ascii="宋体" w:eastAsia="宋体" w:hAnsi="宋体"/>
        </w:rPr>
        <w:t>A.2 研究概述</w:t>
      </w:r>
    </w:p>
    <w:p w14:paraId="38C5916F" w14:textId="77777777" w:rsidR="002B2174" w:rsidRDefault="00862B65" w:rsidP="000137DC">
      <w:pPr>
        <w:ind w:firstLineChars="200" w:firstLine="440"/>
        <w:rPr>
          <w:rFonts w:ascii="宋体" w:eastAsia="宋体" w:hAnsi="宋体" w:hint="eastAsia"/>
        </w:rPr>
      </w:pPr>
      <w:r w:rsidRPr="00862B65">
        <w:rPr>
          <w:rFonts w:ascii="宋体" w:eastAsia="宋体" w:hAnsi="宋体"/>
        </w:rPr>
        <w:t>要观察测试小组成员对品尝含有不同含量苦味剂的水溶性膜的反应。据此，建立一种剂量 - 反应关系，将威慑效果（对膜的排斥）与苦味剂的含量水平联系起来。</w:t>
      </w:r>
    </w:p>
    <w:p w14:paraId="53F25A2D" w14:textId="0E691BFB" w:rsidR="002B2174" w:rsidRDefault="00862B65" w:rsidP="000137DC">
      <w:pPr>
        <w:ind w:firstLineChars="200" w:firstLine="440"/>
        <w:rPr>
          <w:rFonts w:ascii="宋体" w:eastAsia="宋体" w:hAnsi="宋体" w:hint="eastAsia"/>
        </w:rPr>
      </w:pPr>
      <w:r w:rsidRPr="00862B65">
        <w:rPr>
          <w:rFonts w:ascii="宋体" w:eastAsia="宋体" w:hAnsi="宋体"/>
        </w:rPr>
        <w:t>测试小组应由年轻成年人组成，以此作为洗衣液胶囊安全措施目标受众（即幼儿）的替代群体。有可靠的迹象表明，尤其是对于苦味，儿童通常比成年人更敏感。</w:t>
      </w:r>
    </w:p>
    <w:p w14:paraId="01EB7528" w14:textId="137A60E5" w:rsidR="002B2174" w:rsidRDefault="00862B65" w:rsidP="000137DC">
      <w:pPr>
        <w:ind w:firstLineChars="200" w:firstLine="440"/>
        <w:rPr>
          <w:rFonts w:ascii="宋体" w:eastAsia="宋体" w:hAnsi="宋体" w:hint="eastAsia"/>
        </w:rPr>
      </w:pPr>
      <w:r w:rsidRPr="00862B65">
        <w:rPr>
          <w:rFonts w:ascii="宋体" w:eastAsia="宋体" w:hAnsi="宋体"/>
        </w:rPr>
        <w:t>测试产品是含有（不同含量）苦味剂的水溶性膜。该膜应单独用于品尝测试：不得使用实际的洗涤剂胶囊，以确保测试小组成员的安全。</w:t>
      </w:r>
    </w:p>
    <w:p w14:paraId="01B71419" w14:textId="77777777" w:rsidR="002B2174" w:rsidRDefault="00862B65" w:rsidP="000137DC">
      <w:pPr>
        <w:ind w:firstLineChars="200" w:firstLine="440"/>
        <w:rPr>
          <w:rFonts w:ascii="宋体" w:eastAsia="宋体" w:hAnsi="宋体" w:hint="eastAsia"/>
        </w:rPr>
      </w:pPr>
      <w:r w:rsidRPr="00862B65">
        <w:rPr>
          <w:rFonts w:ascii="宋体" w:eastAsia="宋体" w:hAnsi="宋体"/>
        </w:rPr>
        <w:t>每位测试小组成员在不知道会有什么情况的前提下，会得到一片含有特定含量苦味剂的可溶膜，并被要求舔舐该膜以体验味道。然后记录测试小组成员是否排斥该膜，以及如果排斥的话，是在多长时间后排斥的。测试小组成员只允许参与一次，以避免因之前对味道不好的样品有过体验而产生任何偏差。</w:t>
      </w:r>
    </w:p>
    <w:p w14:paraId="3B766A40" w14:textId="77777777" w:rsidR="002B2174" w:rsidRDefault="00862B65" w:rsidP="000137DC">
      <w:pPr>
        <w:ind w:firstLineChars="200" w:firstLine="440"/>
        <w:rPr>
          <w:rFonts w:ascii="宋体" w:eastAsia="宋体" w:hAnsi="宋体" w:hint="eastAsia"/>
        </w:rPr>
      </w:pPr>
      <w:r w:rsidRPr="00862B65">
        <w:rPr>
          <w:rFonts w:ascii="宋体" w:eastAsia="宋体" w:hAnsi="宋体"/>
        </w:rPr>
        <w:t>将分两轮测试一系列浓度的苦味剂。首先，在筛选轮中，应评估膜中大范围含量水平的苦味剂，以及一个未处理的空白样品。随后，根据筛选轮的结果，为最终测试轮确定合适的苦味剂测试含量水平，旨在针对那些能使排斥时间接近最长 6 秒这一目标的含量水平，优化剂量 - 反应关系。</w:t>
      </w:r>
    </w:p>
    <w:p w14:paraId="1B8F8C94" w14:textId="77777777" w:rsidR="002B2174" w:rsidRDefault="00862B65" w:rsidP="00862B65">
      <w:pPr>
        <w:rPr>
          <w:rFonts w:ascii="宋体" w:eastAsia="宋体" w:hAnsi="宋体" w:hint="eastAsia"/>
        </w:rPr>
      </w:pPr>
      <w:r w:rsidRPr="00862B65">
        <w:rPr>
          <w:rFonts w:ascii="宋体" w:eastAsia="宋体" w:hAnsi="宋体"/>
        </w:rPr>
        <w:t>A.3 测试材料</w:t>
      </w:r>
    </w:p>
    <w:p w14:paraId="432F9C50" w14:textId="6D10D105" w:rsidR="00862B65" w:rsidRDefault="00862B65" w:rsidP="000137DC">
      <w:pPr>
        <w:ind w:firstLineChars="200" w:firstLine="440"/>
        <w:rPr>
          <w:rFonts w:ascii="宋体" w:eastAsia="宋体" w:hAnsi="宋体" w:hint="eastAsia"/>
        </w:rPr>
      </w:pPr>
      <w:r w:rsidRPr="00862B65">
        <w:rPr>
          <w:rFonts w:ascii="宋体" w:eastAsia="宋体" w:hAnsi="宋体"/>
        </w:rPr>
        <w:t>测试材料是一种特定类型的水溶性膜与一种特定苦味剂在不同浓度水平下的组合。所测试的水溶性膜和苦味剂都应在研究报告和 / 或研究赞助方的机密研究布置文件中予以明确。本研究的结果只适用于所使用的水溶性膜的类型 / 等级以及所使用的苦味剂的类型 / 等级。因此，研究结果不能外推至与所测试的膜和苦味剂有很大差异的其他组合。</w:t>
      </w:r>
    </w:p>
    <w:p w14:paraId="738F1BD6" w14:textId="77777777" w:rsidR="002B2174" w:rsidRDefault="00862B65" w:rsidP="00862B65">
      <w:pPr>
        <w:rPr>
          <w:rFonts w:ascii="宋体" w:eastAsia="宋体" w:hAnsi="宋体" w:hint="eastAsia"/>
        </w:rPr>
      </w:pPr>
      <w:r w:rsidRPr="00862B65">
        <w:rPr>
          <w:rFonts w:ascii="宋体" w:eastAsia="宋体" w:hAnsi="宋体"/>
        </w:rPr>
        <w:t>A.3.1 经苦味剂处理的水溶性膜的制备</w:t>
      </w:r>
    </w:p>
    <w:p w14:paraId="282BFB49" w14:textId="2F0C0EDA" w:rsidR="00862B65" w:rsidRPr="00862B65" w:rsidRDefault="00862B65" w:rsidP="00862B65">
      <w:pPr>
        <w:rPr>
          <w:rFonts w:ascii="宋体" w:eastAsia="宋体" w:hAnsi="宋体" w:hint="eastAsia"/>
        </w:rPr>
      </w:pPr>
      <w:r w:rsidRPr="00862B65">
        <w:rPr>
          <w:rFonts w:ascii="宋体" w:eastAsia="宋体" w:hAnsi="宋体"/>
        </w:rPr>
        <w:t>应制备含有不同含量苦味剂的水溶性膜：</w:t>
      </w:r>
    </w:p>
    <w:p w14:paraId="3A53E14F" w14:textId="77777777" w:rsidR="00862B65" w:rsidRPr="00862B65" w:rsidRDefault="00862B65" w:rsidP="00862B65">
      <w:pPr>
        <w:numPr>
          <w:ilvl w:val="0"/>
          <w:numId w:val="1"/>
        </w:numPr>
        <w:rPr>
          <w:rFonts w:ascii="宋体" w:eastAsia="宋体" w:hAnsi="宋体" w:hint="eastAsia"/>
        </w:rPr>
      </w:pPr>
      <w:r w:rsidRPr="00862B65">
        <w:rPr>
          <w:rFonts w:ascii="宋体" w:eastAsia="宋体" w:hAnsi="宋体"/>
          <w:b/>
          <w:bCs/>
        </w:rPr>
        <w:t>筛选测试</w:t>
      </w:r>
      <w:r w:rsidRPr="00862B65">
        <w:rPr>
          <w:rFonts w:ascii="宋体" w:eastAsia="宋体" w:hAnsi="宋体"/>
        </w:rPr>
        <w:t>：未处理（空白） - 10ppm（百万分之一） - 100ppm - 1000ppm - 10000ppm 。请注意，在研究之前应进行毒理学安全性评估。如果在最高筛选</w:t>
      </w:r>
      <w:r w:rsidRPr="00862B65">
        <w:rPr>
          <w:rFonts w:ascii="宋体" w:eastAsia="宋体" w:hAnsi="宋体"/>
        </w:rPr>
        <w:lastRenderedPageBreak/>
        <w:t>含量水平下存在毒理学方面的担忧，则应使用含量水平更低的替代浓度系列。如果已有的信息表明使用不同的上限含量范围更为合适，那么可以使用该范围。</w:t>
      </w:r>
    </w:p>
    <w:p w14:paraId="3EF7599C" w14:textId="77777777" w:rsidR="00862B65" w:rsidRPr="00862B65" w:rsidRDefault="00862B65" w:rsidP="00862B65">
      <w:pPr>
        <w:numPr>
          <w:ilvl w:val="0"/>
          <w:numId w:val="1"/>
        </w:numPr>
        <w:rPr>
          <w:rFonts w:ascii="宋体" w:eastAsia="宋体" w:hAnsi="宋体" w:hint="eastAsia"/>
        </w:rPr>
      </w:pPr>
      <w:r w:rsidRPr="00862B65">
        <w:rPr>
          <w:rFonts w:ascii="宋体" w:eastAsia="宋体" w:hAnsi="宋体"/>
          <w:b/>
          <w:bCs/>
        </w:rPr>
        <w:t>最终测试</w:t>
      </w:r>
      <w:r w:rsidRPr="00862B65">
        <w:rPr>
          <w:rFonts w:ascii="宋体" w:eastAsia="宋体" w:hAnsi="宋体"/>
        </w:rPr>
        <w:t>：根据筛选测试的结果确定 6 个含量水平（无空白样品）。</w:t>
      </w:r>
      <w:r w:rsidRPr="00862B65">
        <w:rPr>
          <w:rFonts w:ascii="宋体" w:eastAsia="宋体" w:hAnsi="宋体"/>
        </w:rPr>
        <w:br/>
        <w:t>经处理的膜的生产商应确保膜中苦味剂含量水平的准确性及其分布的均匀性。</w:t>
      </w:r>
      <w:r w:rsidRPr="00862B65">
        <w:rPr>
          <w:rFonts w:ascii="宋体" w:eastAsia="宋体" w:hAnsi="宋体"/>
        </w:rPr>
        <w:br/>
        <w:t>A.3.2 用于味觉测试的膜片的制备</w:t>
      </w:r>
      <w:r w:rsidRPr="00862B65">
        <w:rPr>
          <w:rFonts w:ascii="宋体" w:eastAsia="宋体" w:hAnsi="宋体"/>
        </w:rPr>
        <w:br/>
        <w:t>经处理的水溶性膜应被切割成 3 厘米 ×10 厘米的条带。对于每个测试浓度，应至少制备 12 个重复样品。然后，这些膜条应被放置在单独的袋子中，以确保污染不会成为该研究的额外变量。</w:t>
      </w:r>
      <w:r w:rsidRPr="00862B65">
        <w:rPr>
          <w:rFonts w:ascii="宋体" w:eastAsia="宋体" w:hAnsi="宋体"/>
        </w:rPr>
        <w:br/>
        <w:t>随后，对于每个浓度，应将膜条平均分成两批 —— 一批给男性测试小组成员，一批给女性测试小组成员。给女性和男性测试小组成员的测试样本组应分开保存并做好相应标识。</w:t>
      </w:r>
      <w:r w:rsidRPr="00862B65">
        <w:rPr>
          <w:rFonts w:ascii="宋体" w:eastAsia="宋体" w:hAnsi="宋体"/>
        </w:rPr>
        <w:br/>
        <w:t>这些测试样本应使用一种编码系统进行单独标记，该编码系统将样本与其苦味剂含量水平联系起来。编码不应向测试小组成员或直接将测试样本交给测试小组成员的人员透露苦味剂的含量水平。这是为了通过采用双盲法来避免任何偏差。出于同样的原因，膜条的制备、包装和标记应由与对测试小组成员进行研究的人员不同的其他人来完成。</w:t>
      </w:r>
      <w:r w:rsidRPr="00862B65">
        <w:rPr>
          <w:rFonts w:ascii="宋体" w:eastAsia="宋体" w:hAnsi="宋体"/>
        </w:rPr>
        <w:br/>
        <w:t>A.3.3 测试小组</w:t>
      </w:r>
      <w:r w:rsidRPr="00862B65">
        <w:rPr>
          <w:rFonts w:ascii="宋体" w:eastAsia="宋体" w:hAnsi="宋体"/>
        </w:rPr>
        <w:br/>
        <w:t>要针对一种膜 / 苦味剂组合开展这项研究，需要一个测试小组，其参与者数量与测试样本数量相同（即总共 10 个测试浓度 + 1 个空白样品，每个至少有 12 个重复样品，因此总共至少有 132 名测试小组成员）。</w:t>
      </w:r>
      <w:r w:rsidRPr="00862B65">
        <w:rPr>
          <w:rFonts w:ascii="宋体" w:eastAsia="宋体" w:hAnsi="宋体"/>
        </w:rPr>
        <w:br/>
        <w:t>出于伦理方面的考虑，测试小组不应由幼儿组成，而应使用年轻成年人作为替代群体。需要注意的是，预计这会导致结果出现一些差异，因为成年人往往会 “思考” 所尝到的不好的味道，而不是直接做出反应并吐出来。该研究的设计旨在尽可能消除成年人在测试中的 “过度思考”，试图测量出一个 “真实的” 反应时间。</w:t>
      </w:r>
      <w:r w:rsidRPr="00862B65">
        <w:rPr>
          <w:rFonts w:ascii="宋体" w:eastAsia="宋体" w:hAnsi="宋体"/>
        </w:rPr>
        <w:br/>
        <w:t>测试小组应由以下人员组成：</w:t>
      </w:r>
    </w:p>
    <w:p w14:paraId="32357B35" w14:textId="77777777" w:rsidR="00862B65" w:rsidRPr="00862B65" w:rsidRDefault="00862B65" w:rsidP="00862B65">
      <w:pPr>
        <w:numPr>
          <w:ilvl w:val="0"/>
          <w:numId w:val="1"/>
        </w:numPr>
        <w:rPr>
          <w:rFonts w:ascii="宋体" w:eastAsia="宋体" w:hAnsi="宋体" w:hint="eastAsia"/>
        </w:rPr>
      </w:pPr>
      <w:r w:rsidRPr="00862B65">
        <w:rPr>
          <w:rFonts w:ascii="宋体" w:eastAsia="宋体" w:hAnsi="宋体"/>
        </w:rPr>
        <w:t>年龄在 18 至 25 岁之间的年轻成年人；</w:t>
      </w:r>
    </w:p>
    <w:p w14:paraId="48C4694F" w14:textId="77777777" w:rsidR="00862B65" w:rsidRPr="00862B65" w:rsidRDefault="00862B65" w:rsidP="00862B65">
      <w:pPr>
        <w:numPr>
          <w:ilvl w:val="0"/>
          <w:numId w:val="1"/>
        </w:numPr>
        <w:rPr>
          <w:rFonts w:ascii="宋体" w:eastAsia="宋体" w:hAnsi="宋体" w:hint="eastAsia"/>
        </w:rPr>
      </w:pPr>
      <w:r w:rsidRPr="00862B65">
        <w:rPr>
          <w:rFonts w:ascii="宋体" w:eastAsia="宋体" w:hAnsi="宋体"/>
        </w:rPr>
        <w:t>男女比例相等；</w:t>
      </w:r>
    </w:p>
    <w:p w14:paraId="3208D95C" w14:textId="77777777" w:rsidR="00862B65" w:rsidRPr="00862B65" w:rsidRDefault="00862B65" w:rsidP="00862B65">
      <w:pPr>
        <w:numPr>
          <w:ilvl w:val="0"/>
          <w:numId w:val="1"/>
        </w:numPr>
        <w:rPr>
          <w:rFonts w:ascii="宋体" w:eastAsia="宋体" w:hAnsi="宋体" w:hint="eastAsia"/>
        </w:rPr>
      </w:pPr>
      <w:r w:rsidRPr="00862B65">
        <w:rPr>
          <w:rFonts w:ascii="宋体" w:eastAsia="宋体" w:hAnsi="宋体"/>
        </w:rPr>
        <w:t>排除标准：应排除吸烟者；应排除之前在该情境下有过苦味剂测试经验的测试小组成员。</w:t>
      </w:r>
    </w:p>
    <w:p w14:paraId="3C86A61A" w14:textId="77777777" w:rsidR="002B2174" w:rsidRDefault="00862B65" w:rsidP="000137DC">
      <w:pPr>
        <w:ind w:firstLineChars="200" w:firstLine="440"/>
        <w:rPr>
          <w:rFonts w:ascii="宋体" w:eastAsia="宋体" w:hAnsi="宋体" w:hint="eastAsia"/>
        </w:rPr>
      </w:pPr>
      <w:r w:rsidRPr="00862B65">
        <w:rPr>
          <w:rFonts w:ascii="宋体" w:eastAsia="宋体" w:hAnsi="宋体"/>
        </w:rPr>
        <w:t>每位测试小组成员只能参加一次品尝测试，以避免因先前的经验而导致有偏差的反应。</w:t>
      </w:r>
    </w:p>
    <w:p w14:paraId="3676E80D" w14:textId="77777777" w:rsidR="002B2174" w:rsidRDefault="00862B65" w:rsidP="00862B65">
      <w:pPr>
        <w:rPr>
          <w:rFonts w:ascii="宋体" w:eastAsia="宋体" w:hAnsi="宋体" w:hint="eastAsia"/>
        </w:rPr>
      </w:pPr>
      <w:r w:rsidRPr="00862B65">
        <w:rPr>
          <w:rFonts w:ascii="宋体" w:eastAsia="宋体" w:hAnsi="宋体"/>
        </w:rPr>
        <w:t>A.3.4 测试设计与说明</w:t>
      </w:r>
    </w:p>
    <w:p w14:paraId="6F2308E7" w14:textId="77777777" w:rsidR="002B2174" w:rsidRDefault="00862B65" w:rsidP="00862B65">
      <w:pPr>
        <w:rPr>
          <w:rFonts w:ascii="宋体" w:eastAsia="宋体" w:hAnsi="宋体" w:hint="eastAsia"/>
        </w:rPr>
      </w:pPr>
      <w:r w:rsidRPr="00862B65">
        <w:rPr>
          <w:rFonts w:ascii="宋体" w:eastAsia="宋体" w:hAnsi="宋体"/>
        </w:rPr>
        <w:t>测试应分两轮进行：</w:t>
      </w:r>
    </w:p>
    <w:p w14:paraId="4C532790" w14:textId="6646FA29" w:rsidR="00862B65" w:rsidRDefault="00862B65" w:rsidP="00862B65">
      <w:pPr>
        <w:rPr>
          <w:rFonts w:ascii="宋体" w:eastAsia="宋体" w:hAnsi="宋体" w:hint="eastAsia"/>
        </w:rPr>
      </w:pPr>
      <w:r w:rsidRPr="00862B65">
        <w:rPr>
          <w:rFonts w:ascii="宋体" w:eastAsia="宋体" w:hAnsi="宋体"/>
        </w:rPr>
        <w:lastRenderedPageBreak/>
        <w:t>（1）筛选轮，评估苦味剂的广泛含量水平；</w:t>
      </w:r>
      <w:r w:rsidRPr="00862B65">
        <w:rPr>
          <w:rFonts w:ascii="宋体" w:eastAsia="宋体" w:hAnsi="宋体"/>
        </w:rPr>
        <w:br/>
        <w:t>（2）最终轮，优化接近排斥时间目标的剂量 - 反应关系。</w:t>
      </w:r>
      <w:r w:rsidRPr="00862B65">
        <w:rPr>
          <w:rFonts w:ascii="宋体" w:eastAsia="宋体" w:hAnsi="宋体"/>
        </w:rPr>
        <w:br/>
        <w:t>在筛选轮中，除了一个空白样品（未处理的膜）外，应有 4 个测试浓度。在最终轮中，应有 6 个测试浓度，且无空白样品。每个浓度至少应有 12 个重复样品。因此，总共将至少有 132 次品尝测试（筛选轮为 5×12 = 60 次，最终轮为 6×12 = 72 次）。如果根据筛选轮的结果认为有必要，最终轮可使用更多的重复样品。</w:t>
      </w:r>
      <w:r w:rsidRPr="00862B65">
        <w:rPr>
          <w:rFonts w:ascii="宋体" w:eastAsia="宋体" w:hAnsi="宋体"/>
        </w:rPr>
        <w:br/>
        <w:t>筛选轮中苦味剂的含量水平是预先确定的。最终轮的含量水平将根据筛选结果来确定。因此，最终轮只能在筛选轮之后的几周进行，以便处理筛选数据，以及准备和运送膜和测试样品。在实际测试中，测试样品应分两批提供给进行研究的人员：一批给女性测试小组成员，一批给男性测试小组成员。如上文所述，每批样品中每个测试浓度的重复样品数量应相等。因此，每个测试浓度应由相同数量的男性和女性进行测试，以避免因测试小组成员的性别而产生任何潜在偏差。</w:t>
      </w:r>
      <w:r w:rsidRPr="00862B65">
        <w:rPr>
          <w:rFonts w:ascii="宋体" w:eastAsia="宋体" w:hAnsi="宋体"/>
        </w:rPr>
        <w:br/>
        <w:t>对于每次品尝测试（一名测试小组成员，一种苦味剂含量水平），应遵循以下方法：</w:t>
      </w:r>
      <w:r w:rsidRPr="00862B65">
        <w:rPr>
          <w:rFonts w:ascii="宋体" w:eastAsia="宋体" w:hAnsi="宋体"/>
        </w:rPr>
        <w:br/>
        <w:t>（1）进行测试时，应确保参与的测试小组成员看不到其他成员在测试中的反应，且不能与刚刚完成测试的其他成员交谈。不应告知测试小组成员样品中含有苦味剂。向测试小组成员提供测试样品的人员也不应知晓样品中苦味剂的含量水平。</w:t>
      </w:r>
      <w:r w:rsidRPr="00862B65">
        <w:rPr>
          <w:rFonts w:ascii="宋体" w:eastAsia="宋体" w:hAnsi="宋体"/>
        </w:rPr>
        <w:br/>
        <w:t>（2）测试小组成员应饮用规定的少量（50 毫升）静水。</w:t>
      </w:r>
      <w:r w:rsidRPr="00862B65">
        <w:rPr>
          <w:rFonts w:ascii="宋体" w:eastAsia="宋体" w:hAnsi="宋体"/>
        </w:rPr>
        <w:br/>
        <w:t>（3）应向测试小组成员给出以下确切指示：“这是一次味觉测试，我们称之为‘双盲测试’，意思是我不知道你将会尝到什么味道。味道可能从无味的中性味道到令人愉悦或不愉快的味道，可能是咸的、甜的、酸的等等。（</w:t>
      </w:r>
      <w:r w:rsidRPr="00862B65">
        <w:rPr>
          <w:rFonts w:ascii="宋体" w:eastAsia="宋体" w:hAnsi="宋体"/>
          <w:i/>
          <w:iCs/>
        </w:rPr>
        <w:t>）如果你在舔的时候，觉得味道是中性的或令人愉悦的，我希望你继续舔，直到我让你停下来。如果你在舔的时候，察觉到味道是令人不愉快的，我希望你立即停止舔。你要从袋子里拿出膜，拿在手里，像这样舔它……” 然后向测试小组成员展示如何拿和舔膜。（</w:t>
      </w:r>
      <w:r w:rsidRPr="00862B65">
        <w:rPr>
          <w:rFonts w:ascii="宋体" w:eastAsia="宋体" w:hAnsi="宋体"/>
        </w:rPr>
        <w:t>）注意，这里不应使用对所研究的苦味剂味道的实际描述。例如，如果使用的是一种苦味剂，不应提及 “苦” 这个词；如果苦味剂有酸味，不应使用 “酸” 这个词，等等。</w:t>
      </w:r>
      <w:r w:rsidRPr="00862B65">
        <w:rPr>
          <w:rFonts w:ascii="宋体" w:eastAsia="宋体" w:hAnsi="宋体"/>
        </w:rPr>
        <w:br/>
        <w:t>（4）当膜条与舌头 / 口腔接触的那一刻，应启动计时器，且不应再向测试小组成员提供进一步的指示。每位测试小组成员的反应可以拍摄下来，以供日后参考。</w:t>
      </w:r>
      <w:r w:rsidRPr="00862B65">
        <w:rPr>
          <w:rFonts w:ascii="宋体" w:eastAsia="宋体" w:hAnsi="宋体"/>
        </w:rPr>
        <w:br/>
        <w:t>（5）应记录测试小组成员是否在膜条溶解一半之前就排斥了测试样品，如果是，要确切记录排斥发生在多少秒之后。</w:t>
      </w:r>
    </w:p>
    <w:p w14:paraId="0438D2E0" w14:textId="64403EF4" w:rsidR="000137DC" w:rsidRDefault="00862B65" w:rsidP="00862B65">
      <w:pPr>
        <w:rPr>
          <w:rFonts w:ascii="宋体" w:eastAsia="宋体" w:hAnsi="宋体" w:hint="eastAsia"/>
        </w:rPr>
      </w:pPr>
      <w:r w:rsidRPr="00862B65">
        <w:rPr>
          <w:rFonts w:ascii="宋体" w:eastAsia="宋体" w:hAnsi="宋体"/>
        </w:rPr>
        <w:t>（6）应给参与者提供一些吃的或喝的东西，以去除不好的味道。提供的东西将取决于所研究的苦味剂。例如，对于苦味剂来说，已知黑巧克力能够有效地去除苦味。此外，如果不好的味道传到了测试小组成员的嘴唇上，应提供有香味的润唇膏。</w:t>
      </w:r>
      <w:r w:rsidRPr="00862B65">
        <w:rPr>
          <w:rFonts w:ascii="宋体" w:eastAsia="宋体" w:hAnsi="宋体"/>
        </w:rPr>
        <w:br/>
        <w:t>（7）禁止该测试小组成员今后再参加此项测试或类似测试。</w:t>
      </w:r>
      <w:r w:rsidRPr="00862B65">
        <w:rPr>
          <w:rFonts w:ascii="宋体" w:eastAsia="宋体" w:hAnsi="宋体"/>
        </w:rPr>
        <w:br/>
        <w:t>A.3.5 结果分析与报告</w:t>
      </w:r>
      <w:r w:rsidRPr="00862B65">
        <w:rPr>
          <w:rFonts w:ascii="宋体" w:eastAsia="宋体" w:hAnsi="宋体"/>
        </w:rPr>
        <w:br/>
      </w:r>
      <w:r w:rsidR="000137DC">
        <w:rPr>
          <w:rFonts w:ascii="宋体" w:eastAsia="宋体" w:hAnsi="宋体" w:hint="eastAsia"/>
        </w:rPr>
        <w:t xml:space="preserve">    </w:t>
      </w:r>
      <w:r w:rsidRPr="00862B65">
        <w:rPr>
          <w:rFonts w:ascii="宋体" w:eastAsia="宋体" w:hAnsi="宋体"/>
        </w:rPr>
        <w:t>研究期间收集的所有原始数据都应报告，测试小组成员的身份信息除外（测试实验室应对这些身份信息保密）。请注意，测试实验室应将这些身份信息存档以备日后参考，以避免他们今后参与其他类似研究。</w:t>
      </w:r>
    </w:p>
    <w:p w14:paraId="42B717BA" w14:textId="77777777" w:rsidR="000137DC" w:rsidRDefault="00862B65" w:rsidP="000137DC">
      <w:pPr>
        <w:ind w:firstLineChars="200" w:firstLine="440"/>
        <w:rPr>
          <w:rFonts w:ascii="宋体" w:eastAsia="宋体" w:hAnsi="宋体" w:hint="eastAsia"/>
        </w:rPr>
      </w:pPr>
      <w:r w:rsidRPr="00862B65">
        <w:rPr>
          <w:rFonts w:ascii="宋体" w:eastAsia="宋体" w:hAnsi="宋体"/>
        </w:rPr>
        <w:lastRenderedPageBreak/>
        <w:t>在测试小组成员中，预计味觉受体的敏感度会存在自然差异，这主要是由基因差异导致的。那些对特定苦味剂作用的受体缺乏敏感度的人，即使能感觉到苦味，程度也很有限（无论苦味剂的浓度是多少）。例如，在西伯特和弗鲁德（1991 年）[8] 的一项测试中，给孩子们喝添加了已知有效含量的常见苦味剂的橙汁，超过 15% 的测试对象没有表现出明显的反应。</w:t>
      </w:r>
    </w:p>
    <w:p w14:paraId="547629B7" w14:textId="77777777" w:rsidR="000137DC" w:rsidRDefault="00862B65" w:rsidP="000137DC">
      <w:pPr>
        <w:ind w:firstLineChars="200" w:firstLine="440"/>
        <w:rPr>
          <w:rFonts w:ascii="宋体" w:eastAsia="宋体" w:hAnsi="宋体" w:hint="eastAsia"/>
        </w:rPr>
      </w:pPr>
      <w:r w:rsidRPr="00862B65">
        <w:rPr>
          <w:rFonts w:ascii="宋体" w:eastAsia="宋体" w:hAnsi="宋体"/>
        </w:rPr>
        <w:t>本研究的目的是确定在初次接触后的 6 秒内就能引起口腔排斥反应的合适的苦味剂含量水平。对于不敏感的测试对象来说，无论使用的苦味剂含量水平是多少，都无法达到这个排斥时间。因此，在确定合适的含量水平时，应忽略不敏感测试对象的数据。所以，在给定的含量水平下，不同重复样品的中位数应作为与 6 秒目标进行比较的相关指标。</w:t>
      </w:r>
    </w:p>
    <w:p w14:paraId="7408C428" w14:textId="77777777" w:rsidR="000137DC" w:rsidRDefault="00862B65" w:rsidP="000137DC">
      <w:pPr>
        <w:ind w:firstLineChars="200" w:firstLine="440"/>
        <w:rPr>
          <w:rFonts w:ascii="宋体" w:eastAsia="宋体" w:hAnsi="宋体" w:hint="eastAsia"/>
        </w:rPr>
      </w:pPr>
      <w:r w:rsidRPr="00862B65">
        <w:rPr>
          <w:rFonts w:ascii="宋体" w:eastAsia="宋体" w:hAnsi="宋体"/>
        </w:rPr>
        <w:t>应通过合适的统计方法（需根据具体情况确定，例如取决于数据的分布形态和离散程度）来确定哪些苦味剂含量水平能以至少 90% 的置信度使中位排斥时间低于 6 秒的目标。如果可行的话（取决于数据的质量），还应建立一个数学剂量 - 反应关系，以便根据苦味剂含量水平来确定排斥时间。此外，还应确定在苦味剂达到哪个含量水平之前，观察到的排斥时间与空白样品相比没有显著差异；以及从哪个苦味剂含量水平开始，观察到的排斥时间不再降低。</w:t>
      </w:r>
    </w:p>
    <w:p w14:paraId="147A55C1" w14:textId="780537D8" w:rsidR="000137DC" w:rsidRDefault="00862B65" w:rsidP="000137DC">
      <w:pPr>
        <w:ind w:firstLineChars="200" w:firstLine="440"/>
        <w:rPr>
          <w:rFonts w:ascii="宋体" w:eastAsia="宋体" w:hAnsi="宋体" w:hint="eastAsia"/>
        </w:rPr>
      </w:pPr>
      <w:r w:rsidRPr="00862B65">
        <w:rPr>
          <w:rFonts w:ascii="宋体" w:eastAsia="宋体" w:hAnsi="宋体"/>
        </w:rPr>
        <w:t>本研究的最终结果是确定最低的苦味剂含量水平，该含量水平预期能以至少 90% 的置信度使中位排斥时间（无论是通过测试观察到的，还是如果能建立数学剂量 - 反应关系则通过计算得出的）低于 6 秒。</w:t>
      </w:r>
    </w:p>
    <w:p w14:paraId="7B3C45E3" w14:textId="77777777" w:rsidR="000137DC" w:rsidRDefault="000137DC">
      <w:pPr>
        <w:widowControl/>
        <w:rPr>
          <w:rFonts w:ascii="宋体" w:eastAsia="宋体" w:hAnsi="宋体" w:hint="eastAsia"/>
        </w:rPr>
      </w:pPr>
      <w:r>
        <w:rPr>
          <w:rFonts w:ascii="宋体" w:eastAsia="宋体" w:hAnsi="宋体" w:hint="eastAsia"/>
        </w:rPr>
        <w:br w:type="page"/>
      </w:r>
    </w:p>
    <w:p w14:paraId="10BC2028" w14:textId="77777777" w:rsidR="000137DC" w:rsidRDefault="000137DC" w:rsidP="000137DC">
      <w:pPr>
        <w:ind w:firstLineChars="200" w:firstLine="442"/>
        <w:jc w:val="center"/>
        <w:rPr>
          <w:rFonts w:ascii="宋体" w:eastAsia="宋体" w:hAnsi="宋体" w:hint="eastAsia"/>
          <w:b/>
          <w:bCs/>
        </w:rPr>
      </w:pPr>
      <w:r>
        <w:rPr>
          <w:rFonts w:ascii="宋体" w:eastAsia="宋体" w:hAnsi="宋体" w:hint="eastAsia"/>
          <w:b/>
          <w:bCs/>
        </w:rPr>
        <w:lastRenderedPageBreak/>
        <w:t>参考文献</w:t>
      </w:r>
    </w:p>
    <w:p w14:paraId="5E36D138" w14:textId="45CAD0E1" w:rsidR="00862B65" w:rsidRPr="00862B65" w:rsidRDefault="000137DC" w:rsidP="000137DC">
      <w:pPr>
        <w:spacing w:line="240" w:lineRule="auto"/>
        <w:rPr>
          <w:rFonts w:ascii="宋体" w:eastAsia="宋体" w:hAnsi="宋体" w:hint="eastAsia"/>
        </w:rPr>
      </w:pPr>
      <w:r w:rsidRPr="000137DC">
        <w:rPr>
          <w:rFonts w:ascii="宋体" w:eastAsia="宋体" w:hAnsi="宋体"/>
        </w:rPr>
        <w:t xml:space="preserve">[1] A.I.S.E. (2012). </w:t>
      </w:r>
      <w:r w:rsidRPr="000137DC">
        <w:rPr>
          <w:rFonts w:ascii="宋体" w:eastAsia="宋体" w:hAnsi="宋体"/>
          <w:i/>
          <w:iCs/>
        </w:rPr>
        <w:t xml:space="preserve">Product Stewardship Programme for Liquid Laundry Detergent Capsules. </w:t>
      </w:r>
      <w:r w:rsidRPr="000137DC">
        <w:rPr>
          <w:rFonts w:ascii="宋体" w:eastAsia="宋体" w:hAnsi="宋体"/>
        </w:rPr>
        <w:t>www.aise.eu</w:t>
      </w:r>
      <w:r w:rsidRPr="000137DC">
        <w:rPr>
          <w:rFonts w:ascii="宋体" w:eastAsia="宋体" w:hAnsi="宋体"/>
        </w:rPr>
        <w:br/>
        <w:t>[2] Regulation (EU) N° 1297/2014 amending the CLP Regulation for Soluble Packaging.</w:t>
      </w:r>
      <w:r w:rsidRPr="000137DC">
        <w:rPr>
          <w:rFonts w:ascii="宋体" w:eastAsia="宋体" w:hAnsi="宋体"/>
        </w:rPr>
        <w:br/>
        <w:t>[3] Regulation (EC) 1272/2008 on classification, labelling and packaging of substances and mixtures.</w:t>
      </w:r>
      <w:r w:rsidRPr="000137DC">
        <w:rPr>
          <w:rFonts w:ascii="宋体" w:eastAsia="宋体" w:hAnsi="宋体"/>
        </w:rPr>
        <w:br/>
        <w:t xml:space="preserve">[4] A.I.S.E. (2018). </w:t>
      </w:r>
      <w:r w:rsidRPr="000137DC">
        <w:rPr>
          <w:rFonts w:ascii="宋体" w:eastAsia="宋体" w:hAnsi="宋体"/>
          <w:i/>
          <w:iCs/>
        </w:rPr>
        <w:t>Liquid Laundry Detergent Capsules. Guidelines on CLP Implementation, Version 2.0.</w:t>
      </w:r>
      <w:r w:rsidRPr="000137DC">
        <w:rPr>
          <w:rFonts w:ascii="宋体" w:eastAsia="宋体" w:hAnsi="宋体"/>
          <w:i/>
          <w:iCs/>
        </w:rPr>
        <w:br/>
      </w:r>
      <w:r w:rsidRPr="000137DC">
        <w:rPr>
          <w:rFonts w:ascii="宋体" w:eastAsia="宋体" w:hAnsi="宋体"/>
        </w:rPr>
        <w:t>www.aise.eu</w:t>
      </w:r>
      <w:r w:rsidRPr="000137DC">
        <w:rPr>
          <w:rFonts w:ascii="宋体" w:eastAsia="宋体" w:hAnsi="宋体"/>
        </w:rPr>
        <w:br/>
        <w:t xml:space="preserve">[5] ASTM International published Standard F3159-15. </w:t>
      </w:r>
      <w:r w:rsidRPr="000137DC">
        <w:rPr>
          <w:rFonts w:ascii="宋体" w:eastAsia="宋体" w:hAnsi="宋体"/>
          <w:i/>
          <w:iCs/>
        </w:rPr>
        <w:t>Standard Safety Specification for Liquid Laundry</w:t>
      </w:r>
      <w:r w:rsidRPr="000137DC">
        <w:rPr>
          <w:rFonts w:ascii="宋体" w:eastAsia="宋体" w:hAnsi="宋体"/>
          <w:i/>
          <w:iCs/>
        </w:rPr>
        <w:br/>
        <w:t>Packets</w:t>
      </w:r>
      <w:r w:rsidRPr="000137DC">
        <w:rPr>
          <w:rFonts w:ascii="宋体" w:eastAsia="宋体" w:hAnsi="宋体"/>
        </w:rPr>
        <w:t>.</w:t>
      </w:r>
      <w:r w:rsidRPr="000137DC">
        <w:rPr>
          <w:rFonts w:ascii="宋体" w:eastAsia="宋体" w:hAnsi="宋体"/>
        </w:rPr>
        <w:br/>
        <w:t xml:space="preserve">[6] A.I.S.E. (2020). </w:t>
      </w:r>
      <w:r w:rsidRPr="000137DC">
        <w:rPr>
          <w:rFonts w:ascii="宋体" w:eastAsia="宋体" w:hAnsi="宋体"/>
          <w:i/>
          <w:iCs/>
        </w:rPr>
        <w:t>Product Stewardship ProgrammeFor Liquid Laundry Detergent Capsules Status Update -</w:t>
      </w:r>
      <w:r w:rsidRPr="000137DC">
        <w:rPr>
          <w:rFonts w:ascii="宋体" w:eastAsia="宋体" w:hAnsi="宋体"/>
          <w:i/>
          <w:iCs/>
        </w:rPr>
        <w:br/>
        <w:t xml:space="preserve">September 2019. </w:t>
      </w:r>
      <w:r w:rsidRPr="000137DC">
        <w:rPr>
          <w:rFonts w:ascii="宋体" w:eastAsia="宋体" w:hAnsi="宋体"/>
        </w:rPr>
        <w:t>www.aise.eu</w:t>
      </w:r>
      <w:r w:rsidRPr="000137DC">
        <w:rPr>
          <w:rFonts w:ascii="宋体" w:eastAsia="宋体" w:hAnsi="宋体"/>
        </w:rPr>
        <w:br/>
        <w:t xml:space="preserve">[7] Reynolds, K.M. (2019). </w:t>
      </w:r>
      <w:r w:rsidRPr="000137DC">
        <w:rPr>
          <w:rFonts w:ascii="宋体" w:eastAsia="宋体" w:hAnsi="宋体"/>
          <w:i/>
          <w:iCs/>
        </w:rPr>
        <w:t>Liquid Laundry Detergent Packet Exposures Reported to The National Poison</w:t>
      </w:r>
      <w:r w:rsidRPr="000137DC">
        <w:rPr>
          <w:rFonts w:ascii="宋体" w:eastAsia="宋体" w:hAnsi="宋体"/>
          <w:i/>
          <w:iCs/>
        </w:rPr>
        <w:br/>
        <w:t xml:space="preserve">Data System (NPDS). Surveillance and Evaluation of ASTM Standards. </w:t>
      </w:r>
      <w:r w:rsidRPr="000137DC">
        <w:rPr>
          <w:rFonts w:ascii="宋体" w:eastAsia="宋体" w:hAnsi="宋体"/>
        </w:rPr>
        <w:t>Rocky Mountain Poison &amp; Drug</w:t>
      </w:r>
      <w:r w:rsidRPr="000137DC">
        <w:rPr>
          <w:rFonts w:ascii="宋体" w:eastAsia="宋体" w:hAnsi="宋体"/>
        </w:rPr>
        <w:br/>
        <w:t>Safety.</w:t>
      </w:r>
      <w:r w:rsidRPr="000137DC">
        <w:rPr>
          <w:rFonts w:ascii="宋体" w:eastAsia="宋体" w:hAnsi="宋体"/>
        </w:rPr>
        <w:br/>
        <w:t xml:space="preserve">[8] Sibert, J.R. and Frude, N. (1991). </w:t>
      </w:r>
      <w:r w:rsidRPr="000137DC">
        <w:rPr>
          <w:rFonts w:ascii="宋体" w:eastAsia="宋体" w:hAnsi="宋体"/>
          <w:i/>
          <w:iCs/>
        </w:rPr>
        <w:t>Bittering agents in the prevention of accidental poisoning: children's</w:t>
      </w:r>
      <w:r w:rsidRPr="000137DC">
        <w:rPr>
          <w:rFonts w:ascii="宋体" w:eastAsia="宋体" w:hAnsi="宋体"/>
          <w:i/>
          <w:iCs/>
        </w:rPr>
        <w:br/>
        <w:t xml:space="preserve">reactions to Denatonium Benzoate (Bitrex). </w:t>
      </w:r>
      <w:r w:rsidRPr="000137DC">
        <w:rPr>
          <w:rFonts w:ascii="宋体" w:eastAsia="宋体" w:hAnsi="宋体"/>
        </w:rPr>
        <w:t>Archives of Emergency Medicine, 1991, 8, 1-7.</w:t>
      </w:r>
      <w:r w:rsidRPr="000137DC">
        <w:rPr>
          <w:rFonts w:ascii="宋体" w:eastAsia="宋体" w:hAnsi="宋体"/>
        </w:rPr>
        <w:br/>
        <w:t xml:space="preserve">[9] Mennella, J.A., Pepino, M.Y. and Reed, D.R. (2005). </w:t>
      </w:r>
      <w:r w:rsidRPr="000137DC">
        <w:rPr>
          <w:rFonts w:ascii="宋体" w:eastAsia="宋体" w:hAnsi="宋体"/>
          <w:i/>
          <w:iCs/>
        </w:rPr>
        <w:t>Genetic and environmental determinants of bitter</w:t>
      </w:r>
      <w:r w:rsidRPr="000137DC">
        <w:rPr>
          <w:rFonts w:ascii="宋体" w:eastAsia="宋体" w:hAnsi="宋体"/>
          <w:i/>
          <w:iCs/>
        </w:rPr>
        <w:br/>
        <w:t>perception and sweet preferences</w:t>
      </w:r>
      <w:r w:rsidRPr="000137DC">
        <w:rPr>
          <w:rFonts w:ascii="宋体" w:eastAsia="宋体" w:hAnsi="宋体"/>
        </w:rPr>
        <w:t>. Pediatrics, 2005, 115 (2), 216-222.</w:t>
      </w:r>
      <w:r w:rsidRPr="000137DC">
        <w:rPr>
          <w:rFonts w:ascii="宋体" w:eastAsia="宋体" w:hAnsi="宋体"/>
        </w:rPr>
        <w:br/>
        <w:t xml:space="preserve">[10] Bohannon, R.W., Wang, Y.-C., Bubela, D. and Gershon, R.C. (2017). </w:t>
      </w:r>
      <w:r w:rsidRPr="000137DC">
        <w:rPr>
          <w:rFonts w:ascii="宋体" w:eastAsia="宋体" w:hAnsi="宋体"/>
          <w:i/>
          <w:iCs/>
        </w:rPr>
        <w:t xml:space="preserve">Handgrip Strength: A PopulationBased Study of Norms and Age Trajectories for 3- to 17-Year-Olds. </w:t>
      </w:r>
      <w:r w:rsidRPr="000137DC">
        <w:rPr>
          <w:rFonts w:ascii="宋体" w:eastAsia="宋体" w:hAnsi="宋体"/>
        </w:rPr>
        <w:t>Pediatr Phys Ther 2017(29), 118–123.</w:t>
      </w:r>
      <w:r w:rsidRPr="000137DC">
        <w:rPr>
          <w:rFonts w:ascii="宋体" w:eastAsia="宋体" w:hAnsi="宋体"/>
        </w:rPr>
        <w:br/>
        <w:t xml:space="preserve">[11] ISO 8317. </w:t>
      </w:r>
      <w:r w:rsidRPr="000137DC">
        <w:rPr>
          <w:rFonts w:ascii="宋体" w:eastAsia="宋体" w:hAnsi="宋体"/>
          <w:i/>
          <w:iCs/>
        </w:rPr>
        <w:t>Child-resistant packaging - Requirements and testing procedures for reclosable packages.</w:t>
      </w:r>
      <w:r w:rsidRPr="000137DC">
        <w:rPr>
          <w:rFonts w:ascii="宋体" w:eastAsia="宋体" w:hAnsi="宋体"/>
          <w:i/>
          <w:iCs/>
        </w:rPr>
        <w:br/>
      </w:r>
      <w:r w:rsidRPr="000137DC">
        <w:rPr>
          <w:rFonts w:ascii="宋体" w:eastAsia="宋体" w:hAnsi="宋体"/>
        </w:rPr>
        <w:t xml:space="preserve">[12] US Code of Federal Regulations Title 16 Part 1700 section 1700.15: </w:t>
      </w:r>
      <w:r w:rsidRPr="000137DC">
        <w:rPr>
          <w:rFonts w:ascii="宋体" w:eastAsia="宋体" w:hAnsi="宋体"/>
          <w:i/>
          <w:iCs/>
        </w:rPr>
        <w:t>Poison prevention packaging</w:t>
      </w:r>
      <w:r w:rsidRPr="000137DC">
        <w:rPr>
          <w:rFonts w:ascii="宋体" w:eastAsia="宋体" w:hAnsi="宋体"/>
          <w:i/>
          <w:iCs/>
        </w:rPr>
        <w:br/>
        <w:t xml:space="preserve">standards, </w:t>
      </w:r>
      <w:r w:rsidRPr="000137DC">
        <w:rPr>
          <w:rFonts w:ascii="宋体" w:eastAsia="宋体" w:hAnsi="宋体"/>
        </w:rPr>
        <w:t xml:space="preserve">section 1700.20: </w:t>
      </w:r>
      <w:r w:rsidRPr="000137DC">
        <w:rPr>
          <w:rFonts w:ascii="宋体" w:eastAsia="宋体" w:hAnsi="宋体"/>
          <w:i/>
          <w:iCs/>
        </w:rPr>
        <w:t>Testing procedure for special packaging</w:t>
      </w:r>
      <w:r w:rsidRPr="000137DC">
        <w:rPr>
          <w:rFonts w:ascii="宋体" w:eastAsia="宋体" w:hAnsi="宋体"/>
        </w:rPr>
        <w:t>.</w:t>
      </w:r>
      <w:r w:rsidRPr="000137DC">
        <w:rPr>
          <w:rFonts w:ascii="宋体" w:eastAsia="宋体" w:hAnsi="宋体"/>
        </w:rPr>
        <w:br/>
        <w:t xml:space="preserve">[13] ISO 2859-4. </w:t>
      </w:r>
      <w:r w:rsidRPr="000137DC">
        <w:rPr>
          <w:rFonts w:ascii="宋体" w:eastAsia="宋体" w:hAnsi="宋体"/>
          <w:i/>
          <w:iCs/>
        </w:rPr>
        <w:t>Sampling procedures for inspection by attributes — Part 4: Procedures for assessment of</w:t>
      </w:r>
      <w:r w:rsidRPr="000137DC">
        <w:rPr>
          <w:rFonts w:ascii="宋体" w:eastAsia="宋体" w:hAnsi="宋体"/>
          <w:i/>
          <w:iCs/>
        </w:rPr>
        <w:br/>
        <w:t>declared quality levels.</w:t>
      </w:r>
    </w:p>
    <w:sectPr w:rsidR="00862B65" w:rsidRPr="00862B65">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731E5" w14:textId="77777777" w:rsidR="006B59B0" w:rsidRDefault="006B59B0" w:rsidP="00726329">
      <w:pPr>
        <w:spacing w:after="0" w:line="240" w:lineRule="auto"/>
        <w:rPr>
          <w:rFonts w:hint="eastAsia"/>
        </w:rPr>
      </w:pPr>
      <w:r>
        <w:separator/>
      </w:r>
    </w:p>
  </w:endnote>
  <w:endnote w:type="continuationSeparator" w:id="0">
    <w:p w14:paraId="45B7D544" w14:textId="77777777" w:rsidR="006B59B0" w:rsidRDefault="006B59B0" w:rsidP="00726329">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B94F2" w14:textId="77777777" w:rsidR="006B59B0" w:rsidRDefault="006B59B0" w:rsidP="00726329">
      <w:pPr>
        <w:spacing w:after="0" w:line="240" w:lineRule="auto"/>
        <w:rPr>
          <w:rFonts w:hint="eastAsia"/>
        </w:rPr>
      </w:pPr>
      <w:r>
        <w:separator/>
      </w:r>
    </w:p>
  </w:footnote>
  <w:footnote w:type="continuationSeparator" w:id="0">
    <w:p w14:paraId="28A248E6" w14:textId="77777777" w:rsidR="006B59B0" w:rsidRDefault="006B59B0" w:rsidP="00726329">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6CAAE" w14:textId="0227CC7B" w:rsidR="00726329" w:rsidRDefault="00726329" w:rsidP="00726329">
    <w:pPr>
      <w:pStyle w:val="af0"/>
      <w:jc w:val="right"/>
      <w:rPr>
        <w:rFonts w:hint="eastAsia"/>
      </w:rPr>
    </w:pPr>
    <w:r w:rsidRPr="00726329">
      <w:rPr>
        <w:b/>
        <w:bCs/>
      </w:rPr>
      <w:t>ISO/WD 24287:2019(E)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2343F"/>
    <w:multiLevelType w:val="multilevel"/>
    <w:tmpl w:val="00CE4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456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FF3"/>
    <w:rsid w:val="000137DC"/>
    <w:rsid w:val="002B2174"/>
    <w:rsid w:val="00337272"/>
    <w:rsid w:val="003D3528"/>
    <w:rsid w:val="006B59B0"/>
    <w:rsid w:val="006C5E0D"/>
    <w:rsid w:val="006F4A04"/>
    <w:rsid w:val="00726329"/>
    <w:rsid w:val="00744FF3"/>
    <w:rsid w:val="00862B65"/>
    <w:rsid w:val="00877887"/>
    <w:rsid w:val="0088780E"/>
    <w:rsid w:val="00974C5E"/>
    <w:rsid w:val="009E329E"/>
    <w:rsid w:val="00AA2DF0"/>
    <w:rsid w:val="00D45A6E"/>
    <w:rsid w:val="00D75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E6587"/>
  <w15:chartTrackingRefBased/>
  <w15:docId w15:val="{377C1DB2-1B83-4311-A7DA-545CBC573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44FF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44FF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44FF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44FF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44FF3"/>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744FF3"/>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44FF3"/>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44FF3"/>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744FF3"/>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44FF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44FF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44FF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44FF3"/>
    <w:rPr>
      <w:rFonts w:cstheme="majorBidi"/>
      <w:color w:val="0F4761" w:themeColor="accent1" w:themeShade="BF"/>
      <w:sz w:val="28"/>
      <w:szCs w:val="28"/>
    </w:rPr>
  </w:style>
  <w:style w:type="character" w:customStyle="1" w:styleId="50">
    <w:name w:val="标题 5 字符"/>
    <w:basedOn w:val="a0"/>
    <w:link w:val="5"/>
    <w:uiPriority w:val="9"/>
    <w:semiHidden/>
    <w:rsid w:val="00744FF3"/>
    <w:rPr>
      <w:rFonts w:cstheme="majorBidi"/>
      <w:color w:val="0F4761" w:themeColor="accent1" w:themeShade="BF"/>
      <w:sz w:val="24"/>
    </w:rPr>
  </w:style>
  <w:style w:type="character" w:customStyle="1" w:styleId="60">
    <w:name w:val="标题 6 字符"/>
    <w:basedOn w:val="a0"/>
    <w:link w:val="6"/>
    <w:uiPriority w:val="9"/>
    <w:semiHidden/>
    <w:rsid w:val="00744FF3"/>
    <w:rPr>
      <w:rFonts w:cstheme="majorBidi"/>
      <w:b/>
      <w:bCs/>
      <w:color w:val="0F4761" w:themeColor="accent1" w:themeShade="BF"/>
    </w:rPr>
  </w:style>
  <w:style w:type="character" w:customStyle="1" w:styleId="70">
    <w:name w:val="标题 7 字符"/>
    <w:basedOn w:val="a0"/>
    <w:link w:val="7"/>
    <w:uiPriority w:val="9"/>
    <w:semiHidden/>
    <w:rsid w:val="00744FF3"/>
    <w:rPr>
      <w:rFonts w:cstheme="majorBidi"/>
      <w:b/>
      <w:bCs/>
      <w:color w:val="595959" w:themeColor="text1" w:themeTint="A6"/>
    </w:rPr>
  </w:style>
  <w:style w:type="character" w:customStyle="1" w:styleId="80">
    <w:name w:val="标题 8 字符"/>
    <w:basedOn w:val="a0"/>
    <w:link w:val="8"/>
    <w:uiPriority w:val="9"/>
    <w:semiHidden/>
    <w:rsid w:val="00744FF3"/>
    <w:rPr>
      <w:rFonts w:cstheme="majorBidi"/>
      <w:color w:val="595959" w:themeColor="text1" w:themeTint="A6"/>
    </w:rPr>
  </w:style>
  <w:style w:type="character" w:customStyle="1" w:styleId="90">
    <w:name w:val="标题 9 字符"/>
    <w:basedOn w:val="a0"/>
    <w:link w:val="9"/>
    <w:uiPriority w:val="9"/>
    <w:semiHidden/>
    <w:rsid w:val="00744FF3"/>
    <w:rPr>
      <w:rFonts w:eastAsiaTheme="majorEastAsia" w:cstheme="majorBidi"/>
      <w:color w:val="595959" w:themeColor="text1" w:themeTint="A6"/>
    </w:rPr>
  </w:style>
  <w:style w:type="paragraph" w:styleId="a3">
    <w:name w:val="Title"/>
    <w:basedOn w:val="a"/>
    <w:next w:val="a"/>
    <w:link w:val="a4"/>
    <w:uiPriority w:val="10"/>
    <w:qFormat/>
    <w:rsid w:val="00744FF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44FF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44FF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44FF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44FF3"/>
    <w:pPr>
      <w:spacing w:before="160"/>
      <w:jc w:val="center"/>
    </w:pPr>
    <w:rPr>
      <w:i/>
      <w:iCs/>
      <w:color w:val="404040" w:themeColor="text1" w:themeTint="BF"/>
    </w:rPr>
  </w:style>
  <w:style w:type="character" w:customStyle="1" w:styleId="a8">
    <w:name w:val="引用 字符"/>
    <w:basedOn w:val="a0"/>
    <w:link w:val="a7"/>
    <w:uiPriority w:val="29"/>
    <w:rsid w:val="00744FF3"/>
    <w:rPr>
      <w:i/>
      <w:iCs/>
      <w:color w:val="404040" w:themeColor="text1" w:themeTint="BF"/>
    </w:rPr>
  </w:style>
  <w:style w:type="paragraph" w:styleId="a9">
    <w:name w:val="List Paragraph"/>
    <w:basedOn w:val="a"/>
    <w:uiPriority w:val="34"/>
    <w:qFormat/>
    <w:rsid w:val="00744FF3"/>
    <w:pPr>
      <w:ind w:left="720"/>
      <w:contextualSpacing/>
    </w:pPr>
  </w:style>
  <w:style w:type="character" w:styleId="aa">
    <w:name w:val="Intense Emphasis"/>
    <w:basedOn w:val="a0"/>
    <w:uiPriority w:val="21"/>
    <w:qFormat/>
    <w:rsid w:val="00744FF3"/>
    <w:rPr>
      <w:i/>
      <w:iCs/>
      <w:color w:val="0F4761" w:themeColor="accent1" w:themeShade="BF"/>
    </w:rPr>
  </w:style>
  <w:style w:type="paragraph" w:styleId="ab">
    <w:name w:val="Intense Quote"/>
    <w:basedOn w:val="a"/>
    <w:next w:val="a"/>
    <w:link w:val="ac"/>
    <w:uiPriority w:val="30"/>
    <w:qFormat/>
    <w:rsid w:val="00744F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744FF3"/>
    <w:rPr>
      <w:i/>
      <w:iCs/>
      <w:color w:val="0F4761" w:themeColor="accent1" w:themeShade="BF"/>
    </w:rPr>
  </w:style>
  <w:style w:type="character" w:styleId="ad">
    <w:name w:val="Intense Reference"/>
    <w:basedOn w:val="a0"/>
    <w:uiPriority w:val="32"/>
    <w:qFormat/>
    <w:rsid w:val="00744FF3"/>
    <w:rPr>
      <w:b/>
      <w:bCs/>
      <w:smallCaps/>
      <w:color w:val="0F4761" w:themeColor="accent1" w:themeShade="BF"/>
      <w:spacing w:val="5"/>
    </w:rPr>
  </w:style>
  <w:style w:type="character" w:styleId="ae">
    <w:name w:val="Hyperlink"/>
    <w:basedOn w:val="a0"/>
    <w:uiPriority w:val="99"/>
    <w:unhideWhenUsed/>
    <w:rsid w:val="00877887"/>
    <w:rPr>
      <w:color w:val="467886" w:themeColor="hyperlink"/>
      <w:u w:val="single"/>
    </w:rPr>
  </w:style>
  <w:style w:type="character" w:styleId="af">
    <w:name w:val="Unresolved Mention"/>
    <w:basedOn w:val="a0"/>
    <w:uiPriority w:val="99"/>
    <w:semiHidden/>
    <w:unhideWhenUsed/>
    <w:rsid w:val="00877887"/>
    <w:rPr>
      <w:color w:val="605E5C"/>
      <w:shd w:val="clear" w:color="auto" w:fill="E1DFDD"/>
    </w:rPr>
  </w:style>
  <w:style w:type="paragraph" w:styleId="af0">
    <w:name w:val="header"/>
    <w:basedOn w:val="a"/>
    <w:link w:val="af1"/>
    <w:uiPriority w:val="99"/>
    <w:unhideWhenUsed/>
    <w:rsid w:val="00726329"/>
    <w:pPr>
      <w:tabs>
        <w:tab w:val="center" w:pos="4153"/>
        <w:tab w:val="right" w:pos="8306"/>
      </w:tabs>
      <w:snapToGrid w:val="0"/>
      <w:spacing w:line="240" w:lineRule="auto"/>
      <w:jc w:val="center"/>
    </w:pPr>
    <w:rPr>
      <w:sz w:val="18"/>
      <w:szCs w:val="18"/>
    </w:rPr>
  </w:style>
  <w:style w:type="character" w:customStyle="1" w:styleId="af1">
    <w:name w:val="页眉 字符"/>
    <w:basedOn w:val="a0"/>
    <w:link w:val="af0"/>
    <w:uiPriority w:val="99"/>
    <w:rsid w:val="00726329"/>
    <w:rPr>
      <w:sz w:val="18"/>
      <w:szCs w:val="18"/>
    </w:rPr>
  </w:style>
  <w:style w:type="paragraph" w:styleId="af2">
    <w:name w:val="footer"/>
    <w:basedOn w:val="a"/>
    <w:link w:val="af3"/>
    <w:uiPriority w:val="99"/>
    <w:unhideWhenUsed/>
    <w:rsid w:val="00726329"/>
    <w:pPr>
      <w:tabs>
        <w:tab w:val="center" w:pos="4153"/>
        <w:tab w:val="right" w:pos="8306"/>
      </w:tabs>
      <w:snapToGrid w:val="0"/>
      <w:spacing w:line="240" w:lineRule="auto"/>
    </w:pPr>
    <w:rPr>
      <w:sz w:val="18"/>
      <w:szCs w:val="18"/>
    </w:rPr>
  </w:style>
  <w:style w:type="character" w:customStyle="1" w:styleId="af3">
    <w:name w:val="页脚 字符"/>
    <w:basedOn w:val="a0"/>
    <w:link w:val="af2"/>
    <w:uiPriority w:val="99"/>
    <w:rsid w:val="0072632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097">
      <w:bodyDiv w:val="1"/>
      <w:marLeft w:val="0"/>
      <w:marRight w:val="0"/>
      <w:marTop w:val="0"/>
      <w:marBottom w:val="0"/>
      <w:divBdr>
        <w:top w:val="none" w:sz="0" w:space="0" w:color="auto"/>
        <w:left w:val="none" w:sz="0" w:space="0" w:color="auto"/>
        <w:bottom w:val="none" w:sz="0" w:space="0" w:color="auto"/>
        <w:right w:val="none" w:sz="0" w:space="0" w:color="auto"/>
      </w:divBdr>
      <w:divsChild>
        <w:div w:id="2048675765">
          <w:marLeft w:val="0"/>
          <w:marRight w:val="0"/>
          <w:marTop w:val="0"/>
          <w:marBottom w:val="0"/>
          <w:divBdr>
            <w:top w:val="none" w:sz="0" w:space="0" w:color="auto"/>
            <w:left w:val="none" w:sz="0" w:space="0" w:color="auto"/>
            <w:bottom w:val="none" w:sz="0" w:space="0" w:color="auto"/>
            <w:right w:val="none" w:sz="0" w:space="0" w:color="auto"/>
          </w:divBdr>
        </w:div>
        <w:div w:id="1851984343">
          <w:marLeft w:val="0"/>
          <w:marRight w:val="0"/>
          <w:marTop w:val="0"/>
          <w:marBottom w:val="0"/>
          <w:divBdr>
            <w:top w:val="none" w:sz="0" w:space="0" w:color="auto"/>
            <w:left w:val="none" w:sz="0" w:space="0" w:color="auto"/>
            <w:bottom w:val="none" w:sz="0" w:space="0" w:color="auto"/>
            <w:right w:val="none" w:sz="0" w:space="0" w:color="auto"/>
          </w:divBdr>
        </w:div>
      </w:divsChild>
    </w:div>
    <w:div w:id="105665327">
      <w:bodyDiv w:val="1"/>
      <w:marLeft w:val="0"/>
      <w:marRight w:val="0"/>
      <w:marTop w:val="0"/>
      <w:marBottom w:val="0"/>
      <w:divBdr>
        <w:top w:val="none" w:sz="0" w:space="0" w:color="auto"/>
        <w:left w:val="none" w:sz="0" w:space="0" w:color="auto"/>
        <w:bottom w:val="none" w:sz="0" w:space="0" w:color="auto"/>
        <w:right w:val="none" w:sz="0" w:space="0" w:color="auto"/>
      </w:divBdr>
      <w:divsChild>
        <w:div w:id="384985658">
          <w:marLeft w:val="0"/>
          <w:marRight w:val="0"/>
          <w:marTop w:val="0"/>
          <w:marBottom w:val="0"/>
          <w:divBdr>
            <w:top w:val="none" w:sz="0" w:space="0" w:color="auto"/>
            <w:left w:val="none" w:sz="0" w:space="0" w:color="auto"/>
            <w:bottom w:val="none" w:sz="0" w:space="0" w:color="auto"/>
            <w:right w:val="none" w:sz="0" w:space="0" w:color="auto"/>
          </w:divBdr>
          <w:divsChild>
            <w:div w:id="569850731">
              <w:marLeft w:val="0"/>
              <w:marRight w:val="0"/>
              <w:marTop w:val="0"/>
              <w:marBottom w:val="0"/>
              <w:divBdr>
                <w:top w:val="none" w:sz="0" w:space="0" w:color="auto"/>
                <w:left w:val="none" w:sz="0" w:space="0" w:color="auto"/>
                <w:bottom w:val="none" w:sz="0" w:space="0" w:color="auto"/>
                <w:right w:val="none" w:sz="0" w:space="0" w:color="auto"/>
              </w:divBdr>
              <w:divsChild>
                <w:div w:id="382027428">
                  <w:marLeft w:val="0"/>
                  <w:marRight w:val="0"/>
                  <w:marTop w:val="0"/>
                  <w:marBottom w:val="0"/>
                  <w:divBdr>
                    <w:top w:val="none" w:sz="0" w:space="0" w:color="auto"/>
                    <w:left w:val="none" w:sz="0" w:space="0" w:color="auto"/>
                    <w:bottom w:val="none" w:sz="0" w:space="0" w:color="auto"/>
                    <w:right w:val="none" w:sz="0" w:space="0" w:color="auto"/>
                  </w:divBdr>
                  <w:divsChild>
                    <w:div w:id="1543979867">
                      <w:marLeft w:val="0"/>
                      <w:marRight w:val="0"/>
                      <w:marTop w:val="0"/>
                      <w:marBottom w:val="0"/>
                      <w:divBdr>
                        <w:top w:val="none" w:sz="0" w:space="0" w:color="auto"/>
                        <w:left w:val="none" w:sz="0" w:space="0" w:color="auto"/>
                        <w:bottom w:val="none" w:sz="0" w:space="0" w:color="auto"/>
                        <w:right w:val="none" w:sz="0" w:space="0" w:color="auto"/>
                      </w:divBdr>
                      <w:divsChild>
                        <w:div w:id="1224372361">
                          <w:marLeft w:val="0"/>
                          <w:marRight w:val="0"/>
                          <w:marTop w:val="180"/>
                          <w:marBottom w:val="0"/>
                          <w:divBdr>
                            <w:top w:val="none" w:sz="0" w:space="0" w:color="auto"/>
                            <w:left w:val="none" w:sz="0" w:space="0" w:color="auto"/>
                            <w:bottom w:val="none" w:sz="0" w:space="0" w:color="auto"/>
                            <w:right w:val="none" w:sz="0" w:space="0" w:color="auto"/>
                          </w:divBdr>
                          <w:divsChild>
                            <w:div w:id="1500728210">
                              <w:marLeft w:val="0"/>
                              <w:marRight w:val="0"/>
                              <w:marTop w:val="0"/>
                              <w:marBottom w:val="0"/>
                              <w:divBdr>
                                <w:top w:val="none" w:sz="0" w:space="0" w:color="auto"/>
                                <w:left w:val="none" w:sz="0" w:space="0" w:color="auto"/>
                                <w:bottom w:val="none" w:sz="0" w:space="0" w:color="auto"/>
                                <w:right w:val="none" w:sz="0" w:space="0" w:color="auto"/>
                              </w:divBdr>
                              <w:divsChild>
                                <w:div w:id="1062943373">
                                  <w:marLeft w:val="0"/>
                                  <w:marRight w:val="0"/>
                                  <w:marTop w:val="0"/>
                                  <w:marBottom w:val="0"/>
                                  <w:divBdr>
                                    <w:top w:val="none" w:sz="0" w:space="0" w:color="auto"/>
                                    <w:left w:val="none" w:sz="0" w:space="0" w:color="auto"/>
                                    <w:bottom w:val="none" w:sz="0" w:space="0" w:color="auto"/>
                                    <w:right w:val="none" w:sz="0" w:space="0" w:color="auto"/>
                                  </w:divBdr>
                                  <w:divsChild>
                                    <w:div w:id="307318706">
                                      <w:marLeft w:val="0"/>
                                      <w:marRight w:val="0"/>
                                      <w:marTop w:val="0"/>
                                      <w:marBottom w:val="0"/>
                                      <w:divBdr>
                                        <w:top w:val="none" w:sz="0" w:space="0" w:color="auto"/>
                                        <w:left w:val="none" w:sz="0" w:space="0" w:color="auto"/>
                                        <w:bottom w:val="none" w:sz="0" w:space="0" w:color="auto"/>
                                        <w:right w:val="none" w:sz="0" w:space="0" w:color="auto"/>
                                      </w:divBdr>
                                      <w:divsChild>
                                        <w:div w:id="349071254">
                                          <w:marLeft w:val="0"/>
                                          <w:marRight w:val="0"/>
                                          <w:marTop w:val="0"/>
                                          <w:marBottom w:val="0"/>
                                          <w:divBdr>
                                            <w:top w:val="none" w:sz="0" w:space="0" w:color="auto"/>
                                            <w:left w:val="none" w:sz="0" w:space="0" w:color="auto"/>
                                            <w:bottom w:val="none" w:sz="0" w:space="0" w:color="auto"/>
                                            <w:right w:val="none" w:sz="0" w:space="0" w:color="auto"/>
                                          </w:divBdr>
                                          <w:divsChild>
                                            <w:div w:id="583297122">
                                              <w:marLeft w:val="0"/>
                                              <w:marRight w:val="0"/>
                                              <w:marTop w:val="0"/>
                                              <w:marBottom w:val="0"/>
                                              <w:divBdr>
                                                <w:top w:val="none" w:sz="0" w:space="0" w:color="auto"/>
                                                <w:left w:val="none" w:sz="0" w:space="0" w:color="auto"/>
                                                <w:bottom w:val="none" w:sz="0" w:space="0" w:color="auto"/>
                                                <w:right w:val="none" w:sz="0" w:space="0" w:color="auto"/>
                                              </w:divBdr>
                                              <w:divsChild>
                                                <w:div w:id="31229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936676">
                                      <w:marLeft w:val="0"/>
                                      <w:marRight w:val="0"/>
                                      <w:marTop w:val="0"/>
                                      <w:marBottom w:val="0"/>
                                      <w:divBdr>
                                        <w:top w:val="none" w:sz="0" w:space="0" w:color="auto"/>
                                        <w:left w:val="none" w:sz="0" w:space="0" w:color="auto"/>
                                        <w:bottom w:val="none" w:sz="0" w:space="0" w:color="auto"/>
                                        <w:right w:val="none" w:sz="0" w:space="0" w:color="auto"/>
                                      </w:divBdr>
                                      <w:divsChild>
                                        <w:div w:id="1733768010">
                                          <w:marLeft w:val="0"/>
                                          <w:marRight w:val="0"/>
                                          <w:marTop w:val="0"/>
                                          <w:marBottom w:val="0"/>
                                          <w:divBdr>
                                            <w:top w:val="none" w:sz="0" w:space="0" w:color="auto"/>
                                            <w:left w:val="none" w:sz="0" w:space="0" w:color="auto"/>
                                            <w:bottom w:val="none" w:sz="0" w:space="0" w:color="auto"/>
                                            <w:right w:val="none" w:sz="0" w:space="0" w:color="auto"/>
                                          </w:divBdr>
                                          <w:divsChild>
                                            <w:div w:id="2110663349">
                                              <w:marLeft w:val="0"/>
                                              <w:marRight w:val="0"/>
                                              <w:marTop w:val="0"/>
                                              <w:marBottom w:val="0"/>
                                              <w:divBdr>
                                                <w:top w:val="none" w:sz="0" w:space="0" w:color="auto"/>
                                                <w:left w:val="none" w:sz="0" w:space="0" w:color="auto"/>
                                                <w:bottom w:val="none" w:sz="0" w:space="0" w:color="auto"/>
                                                <w:right w:val="none" w:sz="0" w:space="0" w:color="auto"/>
                                              </w:divBdr>
                                              <w:divsChild>
                                                <w:div w:id="23917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9724675">
      <w:bodyDiv w:val="1"/>
      <w:marLeft w:val="0"/>
      <w:marRight w:val="0"/>
      <w:marTop w:val="0"/>
      <w:marBottom w:val="0"/>
      <w:divBdr>
        <w:top w:val="none" w:sz="0" w:space="0" w:color="auto"/>
        <w:left w:val="none" w:sz="0" w:space="0" w:color="auto"/>
        <w:bottom w:val="none" w:sz="0" w:space="0" w:color="auto"/>
        <w:right w:val="none" w:sz="0" w:space="0" w:color="auto"/>
      </w:divBdr>
      <w:divsChild>
        <w:div w:id="1880123224">
          <w:marLeft w:val="0"/>
          <w:marRight w:val="0"/>
          <w:marTop w:val="0"/>
          <w:marBottom w:val="0"/>
          <w:divBdr>
            <w:top w:val="none" w:sz="0" w:space="0" w:color="auto"/>
            <w:left w:val="none" w:sz="0" w:space="0" w:color="auto"/>
            <w:bottom w:val="none" w:sz="0" w:space="0" w:color="auto"/>
            <w:right w:val="none" w:sz="0" w:space="0" w:color="auto"/>
          </w:divBdr>
        </w:div>
        <w:div w:id="1255211677">
          <w:marLeft w:val="0"/>
          <w:marRight w:val="0"/>
          <w:marTop w:val="0"/>
          <w:marBottom w:val="0"/>
          <w:divBdr>
            <w:top w:val="none" w:sz="0" w:space="0" w:color="auto"/>
            <w:left w:val="none" w:sz="0" w:space="0" w:color="auto"/>
            <w:bottom w:val="none" w:sz="0" w:space="0" w:color="auto"/>
            <w:right w:val="none" w:sz="0" w:space="0" w:color="auto"/>
          </w:divBdr>
        </w:div>
      </w:divsChild>
    </w:div>
    <w:div w:id="986087208">
      <w:bodyDiv w:val="1"/>
      <w:marLeft w:val="0"/>
      <w:marRight w:val="0"/>
      <w:marTop w:val="0"/>
      <w:marBottom w:val="0"/>
      <w:divBdr>
        <w:top w:val="none" w:sz="0" w:space="0" w:color="auto"/>
        <w:left w:val="none" w:sz="0" w:space="0" w:color="auto"/>
        <w:bottom w:val="none" w:sz="0" w:space="0" w:color="auto"/>
        <w:right w:val="none" w:sz="0" w:space="0" w:color="auto"/>
      </w:divBdr>
      <w:divsChild>
        <w:div w:id="578445231">
          <w:marLeft w:val="0"/>
          <w:marRight w:val="0"/>
          <w:marTop w:val="0"/>
          <w:marBottom w:val="0"/>
          <w:divBdr>
            <w:top w:val="none" w:sz="0" w:space="0" w:color="auto"/>
            <w:left w:val="none" w:sz="0" w:space="0" w:color="auto"/>
            <w:bottom w:val="none" w:sz="0" w:space="0" w:color="auto"/>
            <w:right w:val="none" w:sz="0" w:space="0" w:color="auto"/>
          </w:divBdr>
          <w:divsChild>
            <w:div w:id="1740471402">
              <w:marLeft w:val="0"/>
              <w:marRight w:val="0"/>
              <w:marTop w:val="0"/>
              <w:marBottom w:val="0"/>
              <w:divBdr>
                <w:top w:val="none" w:sz="0" w:space="0" w:color="auto"/>
                <w:left w:val="none" w:sz="0" w:space="0" w:color="auto"/>
                <w:bottom w:val="none" w:sz="0" w:space="0" w:color="auto"/>
                <w:right w:val="none" w:sz="0" w:space="0" w:color="auto"/>
              </w:divBdr>
              <w:divsChild>
                <w:div w:id="92553814">
                  <w:marLeft w:val="0"/>
                  <w:marRight w:val="0"/>
                  <w:marTop w:val="0"/>
                  <w:marBottom w:val="0"/>
                  <w:divBdr>
                    <w:top w:val="none" w:sz="0" w:space="0" w:color="auto"/>
                    <w:left w:val="none" w:sz="0" w:space="0" w:color="auto"/>
                    <w:bottom w:val="none" w:sz="0" w:space="0" w:color="auto"/>
                    <w:right w:val="none" w:sz="0" w:space="0" w:color="auto"/>
                  </w:divBdr>
                  <w:divsChild>
                    <w:div w:id="205796996">
                      <w:marLeft w:val="0"/>
                      <w:marRight w:val="0"/>
                      <w:marTop w:val="0"/>
                      <w:marBottom w:val="0"/>
                      <w:divBdr>
                        <w:top w:val="none" w:sz="0" w:space="0" w:color="auto"/>
                        <w:left w:val="none" w:sz="0" w:space="0" w:color="auto"/>
                        <w:bottom w:val="none" w:sz="0" w:space="0" w:color="auto"/>
                        <w:right w:val="none" w:sz="0" w:space="0" w:color="auto"/>
                      </w:divBdr>
                      <w:divsChild>
                        <w:div w:id="213784107">
                          <w:marLeft w:val="0"/>
                          <w:marRight w:val="0"/>
                          <w:marTop w:val="180"/>
                          <w:marBottom w:val="0"/>
                          <w:divBdr>
                            <w:top w:val="none" w:sz="0" w:space="0" w:color="auto"/>
                            <w:left w:val="none" w:sz="0" w:space="0" w:color="auto"/>
                            <w:bottom w:val="none" w:sz="0" w:space="0" w:color="auto"/>
                            <w:right w:val="none" w:sz="0" w:space="0" w:color="auto"/>
                          </w:divBdr>
                          <w:divsChild>
                            <w:div w:id="1036005957">
                              <w:marLeft w:val="0"/>
                              <w:marRight w:val="0"/>
                              <w:marTop w:val="0"/>
                              <w:marBottom w:val="0"/>
                              <w:divBdr>
                                <w:top w:val="none" w:sz="0" w:space="0" w:color="auto"/>
                                <w:left w:val="none" w:sz="0" w:space="0" w:color="auto"/>
                                <w:bottom w:val="none" w:sz="0" w:space="0" w:color="auto"/>
                                <w:right w:val="none" w:sz="0" w:space="0" w:color="auto"/>
                              </w:divBdr>
                              <w:divsChild>
                                <w:div w:id="137041396">
                                  <w:marLeft w:val="0"/>
                                  <w:marRight w:val="0"/>
                                  <w:marTop w:val="0"/>
                                  <w:marBottom w:val="0"/>
                                  <w:divBdr>
                                    <w:top w:val="none" w:sz="0" w:space="0" w:color="auto"/>
                                    <w:left w:val="none" w:sz="0" w:space="0" w:color="auto"/>
                                    <w:bottom w:val="none" w:sz="0" w:space="0" w:color="auto"/>
                                    <w:right w:val="none" w:sz="0" w:space="0" w:color="auto"/>
                                  </w:divBdr>
                                  <w:divsChild>
                                    <w:div w:id="1488008344">
                                      <w:marLeft w:val="0"/>
                                      <w:marRight w:val="0"/>
                                      <w:marTop w:val="0"/>
                                      <w:marBottom w:val="0"/>
                                      <w:divBdr>
                                        <w:top w:val="none" w:sz="0" w:space="0" w:color="auto"/>
                                        <w:left w:val="none" w:sz="0" w:space="0" w:color="auto"/>
                                        <w:bottom w:val="none" w:sz="0" w:space="0" w:color="auto"/>
                                        <w:right w:val="none" w:sz="0" w:space="0" w:color="auto"/>
                                      </w:divBdr>
                                      <w:divsChild>
                                        <w:div w:id="951979181">
                                          <w:marLeft w:val="0"/>
                                          <w:marRight w:val="0"/>
                                          <w:marTop w:val="0"/>
                                          <w:marBottom w:val="0"/>
                                          <w:divBdr>
                                            <w:top w:val="none" w:sz="0" w:space="0" w:color="auto"/>
                                            <w:left w:val="none" w:sz="0" w:space="0" w:color="auto"/>
                                            <w:bottom w:val="none" w:sz="0" w:space="0" w:color="auto"/>
                                            <w:right w:val="none" w:sz="0" w:space="0" w:color="auto"/>
                                          </w:divBdr>
                                          <w:divsChild>
                                            <w:div w:id="755900997">
                                              <w:marLeft w:val="0"/>
                                              <w:marRight w:val="0"/>
                                              <w:marTop w:val="0"/>
                                              <w:marBottom w:val="0"/>
                                              <w:divBdr>
                                                <w:top w:val="none" w:sz="0" w:space="0" w:color="auto"/>
                                                <w:left w:val="none" w:sz="0" w:space="0" w:color="auto"/>
                                                <w:bottom w:val="none" w:sz="0" w:space="0" w:color="auto"/>
                                                <w:right w:val="none" w:sz="0" w:space="0" w:color="auto"/>
                                              </w:divBdr>
                                              <w:divsChild>
                                                <w:div w:id="149752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173685">
                                      <w:marLeft w:val="0"/>
                                      <w:marRight w:val="0"/>
                                      <w:marTop w:val="0"/>
                                      <w:marBottom w:val="0"/>
                                      <w:divBdr>
                                        <w:top w:val="none" w:sz="0" w:space="0" w:color="auto"/>
                                        <w:left w:val="none" w:sz="0" w:space="0" w:color="auto"/>
                                        <w:bottom w:val="none" w:sz="0" w:space="0" w:color="auto"/>
                                        <w:right w:val="none" w:sz="0" w:space="0" w:color="auto"/>
                                      </w:divBdr>
                                      <w:divsChild>
                                        <w:div w:id="1483041261">
                                          <w:marLeft w:val="0"/>
                                          <w:marRight w:val="0"/>
                                          <w:marTop w:val="0"/>
                                          <w:marBottom w:val="0"/>
                                          <w:divBdr>
                                            <w:top w:val="none" w:sz="0" w:space="0" w:color="auto"/>
                                            <w:left w:val="none" w:sz="0" w:space="0" w:color="auto"/>
                                            <w:bottom w:val="none" w:sz="0" w:space="0" w:color="auto"/>
                                            <w:right w:val="none" w:sz="0" w:space="0" w:color="auto"/>
                                          </w:divBdr>
                                          <w:divsChild>
                                            <w:div w:id="1040321292">
                                              <w:marLeft w:val="0"/>
                                              <w:marRight w:val="0"/>
                                              <w:marTop w:val="0"/>
                                              <w:marBottom w:val="0"/>
                                              <w:divBdr>
                                                <w:top w:val="none" w:sz="0" w:space="0" w:color="auto"/>
                                                <w:left w:val="none" w:sz="0" w:space="0" w:color="auto"/>
                                                <w:bottom w:val="none" w:sz="0" w:space="0" w:color="auto"/>
                                                <w:right w:val="none" w:sz="0" w:space="0" w:color="auto"/>
                                              </w:divBdr>
                                              <w:divsChild>
                                                <w:div w:id="94904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82365473">
      <w:bodyDiv w:val="1"/>
      <w:marLeft w:val="0"/>
      <w:marRight w:val="0"/>
      <w:marTop w:val="0"/>
      <w:marBottom w:val="0"/>
      <w:divBdr>
        <w:top w:val="none" w:sz="0" w:space="0" w:color="auto"/>
        <w:left w:val="none" w:sz="0" w:space="0" w:color="auto"/>
        <w:bottom w:val="none" w:sz="0" w:space="0" w:color="auto"/>
        <w:right w:val="none" w:sz="0" w:space="0" w:color="auto"/>
      </w:divBdr>
      <w:divsChild>
        <w:div w:id="1663896839">
          <w:marLeft w:val="0"/>
          <w:marRight w:val="0"/>
          <w:marTop w:val="0"/>
          <w:marBottom w:val="0"/>
          <w:divBdr>
            <w:top w:val="none" w:sz="0" w:space="0" w:color="auto"/>
            <w:left w:val="none" w:sz="0" w:space="0" w:color="auto"/>
            <w:bottom w:val="none" w:sz="0" w:space="0" w:color="auto"/>
            <w:right w:val="none" w:sz="0" w:space="0" w:color="auto"/>
          </w:divBdr>
        </w:div>
      </w:divsChild>
    </w:div>
    <w:div w:id="1679041802">
      <w:bodyDiv w:val="1"/>
      <w:marLeft w:val="0"/>
      <w:marRight w:val="0"/>
      <w:marTop w:val="0"/>
      <w:marBottom w:val="0"/>
      <w:divBdr>
        <w:top w:val="none" w:sz="0" w:space="0" w:color="auto"/>
        <w:left w:val="none" w:sz="0" w:space="0" w:color="auto"/>
        <w:bottom w:val="none" w:sz="0" w:space="0" w:color="auto"/>
        <w:right w:val="none" w:sz="0" w:space="0" w:color="auto"/>
      </w:divBdr>
      <w:divsChild>
        <w:div w:id="245498754">
          <w:marLeft w:val="0"/>
          <w:marRight w:val="0"/>
          <w:marTop w:val="0"/>
          <w:marBottom w:val="0"/>
          <w:divBdr>
            <w:top w:val="none" w:sz="0" w:space="0" w:color="auto"/>
            <w:left w:val="none" w:sz="0" w:space="0" w:color="auto"/>
            <w:bottom w:val="none" w:sz="0" w:space="0" w:color="auto"/>
            <w:right w:val="none" w:sz="0" w:space="0" w:color="auto"/>
          </w:divBdr>
          <w:divsChild>
            <w:div w:id="216093589">
              <w:marLeft w:val="0"/>
              <w:marRight w:val="0"/>
              <w:marTop w:val="0"/>
              <w:marBottom w:val="0"/>
              <w:divBdr>
                <w:top w:val="none" w:sz="0" w:space="0" w:color="auto"/>
                <w:left w:val="none" w:sz="0" w:space="0" w:color="auto"/>
                <w:bottom w:val="none" w:sz="0" w:space="0" w:color="auto"/>
                <w:right w:val="none" w:sz="0" w:space="0" w:color="auto"/>
              </w:divBdr>
              <w:divsChild>
                <w:div w:id="29963051">
                  <w:marLeft w:val="0"/>
                  <w:marRight w:val="0"/>
                  <w:marTop w:val="0"/>
                  <w:marBottom w:val="0"/>
                  <w:divBdr>
                    <w:top w:val="none" w:sz="0" w:space="0" w:color="auto"/>
                    <w:left w:val="none" w:sz="0" w:space="0" w:color="auto"/>
                    <w:bottom w:val="none" w:sz="0" w:space="0" w:color="auto"/>
                    <w:right w:val="none" w:sz="0" w:space="0" w:color="auto"/>
                  </w:divBdr>
                  <w:divsChild>
                    <w:div w:id="196406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734132">
      <w:bodyDiv w:val="1"/>
      <w:marLeft w:val="0"/>
      <w:marRight w:val="0"/>
      <w:marTop w:val="0"/>
      <w:marBottom w:val="0"/>
      <w:divBdr>
        <w:top w:val="none" w:sz="0" w:space="0" w:color="auto"/>
        <w:left w:val="none" w:sz="0" w:space="0" w:color="auto"/>
        <w:bottom w:val="none" w:sz="0" w:space="0" w:color="auto"/>
        <w:right w:val="none" w:sz="0" w:space="0" w:color="auto"/>
      </w:divBdr>
      <w:divsChild>
        <w:div w:id="192696081">
          <w:marLeft w:val="0"/>
          <w:marRight w:val="0"/>
          <w:marTop w:val="0"/>
          <w:marBottom w:val="0"/>
          <w:divBdr>
            <w:top w:val="none" w:sz="0" w:space="0" w:color="auto"/>
            <w:left w:val="none" w:sz="0" w:space="0" w:color="auto"/>
            <w:bottom w:val="none" w:sz="0" w:space="0" w:color="auto"/>
            <w:right w:val="none" w:sz="0" w:space="0" w:color="auto"/>
          </w:divBdr>
          <w:divsChild>
            <w:div w:id="186987000">
              <w:marLeft w:val="0"/>
              <w:marRight w:val="0"/>
              <w:marTop w:val="0"/>
              <w:marBottom w:val="0"/>
              <w:divBdr>
                <w:top w:val="none" w:sz="0" w:space="0" w:color="auto"/>
                <w:left w:val="none" w:sz="0" w:space="0" w:color="auto"/>
                <w:bottom w:val="none" w:sz="0" w:space="0" w:color="auto"/>
                <w:right w:val="none" w:sz="0" w:space="0" w:color="auto"/>
              </w:divBdr>
              <w:divsChild>
                <w:div w:id="1490563446">
                  <w:marLeft w:val="0"/>
                  <w:marRight w:val="0"/>
                  <w:marTop w:val="0"/>
                  <w:marBottom w:val="0"/>
                  <w:divBdr>
                    <w:top w:val="none" w:sz="0" w:space="0" w:color="auto"/>
                    <w:left w:val="none" w:sz="0" w:space="0" w:color="auto"/>
                    <w:bottom w:val="none" w:sz="0" w:space="0" w:color="auto"/>
                    <w:right w:val="none" w:sz="0" w:space="0" w:color="auto"/>
                  </w:divBdr>
                  <w:divsChild>
                    <w:div w:id="103117364">
                      <w:marLeft w:val="0"/>
                      <w:marRight w:val="0"/>
                      <w:marTop w:val="0"/>
                      <w:marBottom w:val="0"/>
                      <w:divBdr>
                        <w:top w:val="none" w:sz="0" w:space="0" w:color="auto"/>
                        <w:left w:val="none" w:sz="0" w:space="0" w:color="auto"/>
                        <w:bottom w:val="none" w:sz="0" w:space="0" w:color="auto"/>
                        <w:right w:val="none" w:sz="0" w:space="0" w:color="auto"/>
                      </w:divBdr>
                      <w:divsChild>
                        <w:div w:id="520046570">
                          <w:marLeft w:val="0"/>
                          <w:marRight w:val="0"/>
                          <w:marTop w:val="180"/>
                          <w:marBottom w:val="0"/>
                          <w:divBdr>
                            <w:top w:val="none" w:sz="0" w:space="0" w:color="auto"/>
                            <w:left w:val="none" w:sz="0" w:space="0" w:color="auto"/>
                            <w:bottom w:val="none" w:sz="0" w:space="0" w:color="auto"/>
                            <w:right w:val="none" w:sz="0" w:space="0" w:color="auto"/>
                          </w:divBdr>
                          <w:divsChild>
                            <w:div w:id="2106999780">
                              <w:marLeft w:val="0"/>
                              <w:marRight w:val="0"/>
                              <w:marTop w:val="0"/>
                              <w:marBottom w:val="0"/>
                              <w:divBdr>
                                <w:top w:val="none" w:sz="0" w:space="0" w:color="auto"/>
                                <w:left w:val="none" w:sz="0" w:space="0" w:color="auto"/>
                                <w:bottom w:val="none" w:sz="0" w:space="0" w:color="auto"/>
                                <w:right w:val="none" w:sz="0" w:space="0" w:color="auto"/>
                              </w:divBdr>
                              <w:divsChild>
                                <w:div w:id="1489711774">
                                  <w:marLeft w:val="0"/>
                                  <w:marRight w:val="0"/>
                                  <w:marTop w:val="0"/>
                                  <w:marBottom w:val="0"/>
                                  <w:divBdr>
                                    <w:top w:val="none" w:sz="0" w:space="0" w:color="auto"/>
                                    <w:left w:val="none" w:sz="0" w:space="0" w:color="auto"/>
                                    <w:bottom w:val="none" w:sz="0" w:space="0" w:color="auto"/>
                                    <w:right w:val="none" w:sz="0" w:space="0" w:color="auto"/>
                                  </w:divBdr>
                                  <w:divsChild>
                                    <w:div w:id="322314863">
                                      <w:marLeft w:val="0"/>
                                      <w:marRight w:val="0"/>
                                      <w:marTop w:val="0"/>
                                      <w:marBottom w:val="0"/>
                                      <w:divBdr>
                                        <w:top w:val="none" w:sz="0" w:space="0" w:color="auto"/>
                                        <w:left w:val="none" w:sz="0" w:space="0" w:color="auto"/>
                                        <w:bottom w:val="none" w:sz="0" w:space="0" w:color="auto"/>
                                        <w:right w:val="none" w:sz="0" w:space="0" w:color="auto"/>
                                      </w:divBdr>
                                      <w:divsChild>
                                        <w:div w:id="1401781994">
                                          <w:marLeft w:val="0"/>
                                          <w:marRight w:val="0"/>
                                          <w:marTop w:val="0"/>
                                          <w:marBottom w:val="0"/>
                                          <w:divBdr>
                                            <w:top w:val="none" w:sz="0" w:space="0" w:color="auto"/>
                                            <w:left w:val="none" w:sz="0" w:space="0" w:color="auto"/>
                                            <w:bottom w:val="none" w:sz="0" w:space="0" w:color="auto"/>
                                            <w:right w:val="none" w:sz="0" w:space="0" w:color="auto"/>
                                          </w:divBdr>
                                          <w:divsChild>
                                            <w:div w:id="1116097897">
                                              <w:marLeft w:val="0"/>
                                              <w:marRight w:val="0"/>
                                              <w:marTop w:val="0"/>
                                              <w:marBottom w:val="0"/>
                                              <w:divBdr>
                                                <w:top w:val="none" w:sz="0" w:space="0" w:color="auto"/>
                                                <w:left w:val="none" w:sz="0" w:space="0" w:color="auto"/>
                                                <w:bottom w:val="none" w:sz="0" w:space="0" w:color="auto"/>
                                                <w:right w:val="none" w:sz="0" w:space="0" w:color="auto"/>
                                              </w:divBdr>
                                              <w:divsChild>
                                                <w:div w:id="86405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504229">
                                      <w:marLeft w:val="0"/>
                                      <w:marRight w:val="0"/>
                                      <w:marTop w:val="0"/>
                                      <w:marBottom w:val="0"/>
                                      <w:divBdr>
                                        <w:top w:val="none" w:sz="0" w:space="0" w:color="auto"/>
                                        <w:left w:val="none" w:sz="0" w:space="0" w:color="auto"/>
                                        <w:bottom w:val="none" w:sz="0" w:space="0" w:color="auto"/>
                                        <w:right w:val="none" w:sz="0" w:space="0" w:color="auto"/>
                                      </w:divBdr>
                                      <w:divsChild>
                                        <w:div w:id="1044788755">
                                          <w:marLeft w:val="0"/>
                                          <w:marRight w:val="0"/>
                                          <w:marTop w:val="0"/>
                                          <w:marBottom w:val="0"/>
                                          <w:divBdr>
                                            <w:top w:val="none" w:sz="0" w:space="0" w:color="auto"/>
                                            <w:left w:val="none" w:sz="0" w:space="0" w:color="auto"/>
                                            <w:bottom w:val="none" w:sz="0" w:space="0" w:color="auto"/>
                                            <w:right w:val="none" w:sz="0" w:space="0" w:color="auto"/>
                                          </w:divBdr>
                                          <w:divsChild>
                                            <w:div w:id="860359178">
                                              <w:marLeft w:val="0"/>
                                              <w:marRight w:val="0"/>
                                              <w:marTop w:val="0"/>
                                              <w:marBottom w:val="0"/>
                                              <w:divBdr>
                                                <w:top w:val="none" w:sz="0" w:space="0" w:color="auto"/>
                                                <w:left w:val="none" w:sz="0" w:space="0" w:color="auto"/>
                                                <w:bottom w:val="none" w:sz="0" w:space="0" w:color="auto"/>
                                                <w:right w:val="none" w:sz="0" w:space="0" w:color="auto"/>
                                              </w:divBdr>
                                              <w:divsChild>
                                                <w:div w:id="1162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0563416">
      <w:bodyDiv w:val="1"/>
      <w:marLeft w:val="0"/>
      <w:marRight w:val="0"/>
      <w:marTop w:val="0"/>
      <w:marBottom w:val="0"/>
      <w:divBdr>
        <w:top w:val="none" w:sz="0" w:space="0" w:color="auto"/>
        <w:left w:val="none" w:sz="0" w:space="0" w:color="auto"/>
        <w:bottom w:val="none" w:sz="0" w:space="0" w:color="auto"/>
        <w:right w:val="none" w:sz="0" w:space="0" w:color="auto"/>
      </w:divBdr>
      <w:divsChild>
        <w:div w:id="2033189076">
          <w:marLeft w:val="0"/>
          <w:marRight w:val="0"/>
          <w:marTop w:val="0"/>
          <w:marBottom w:val="0"/>
          <w:divBdr>
            <w:top w:val="none" w:sz="0" w:space="0" w:color="auto"/>
            <w:left w:val="none" w:sz="0" w:space="0" w:color="auto"/>
            <w:bottom w:val="none" w:sz="0" w:space="0" w:color="auto"/>
            <w:right w:val="none" w:sz="0" w:space="0" w:color="auto"/>
          </w:divBdr>
        </w:div>
      </w:divsChild>
    </w:div>
    <w:div w:id="1779372948">
      <w:bodyDiv w:val="1"/>
      <w:marLeft w:val="0"/>
      <w:marRight w:val="0"/>
      <w:marTop w:val="0"/>
      <w:marBottom w:val="0"/>
      <w:divBdr>
        <w:top w:val="none" w:sz="0" w:space="0" w:color="auto"/>
        <w:left w:val="none" w:sz="0" w:space="0" w:color="auto"/>
        <w:bottom w:val="none" w:sz="0" w:space="0" w:color="auto"/>
        <w:right w:val="none" w:sz="0" w:space="0" w:color="auto"/>
      </w:divBdr>
      <w:divsChild>
        <w:div w:id="482738642">
          <w:marLeft w:val="0"/>
          <w:marRight w:val="0"/>
          <w:marTop w:val="0"/>
          <w:marBottom w:val="0"/>
          <w:divBdr>
            <w:top w:val="none" w:sz="0" w:space="0" w:color="auto"/>
            <w:left w:val="none" w:sz="0" w:space="0" w:color="auto"/>
            <w:bottom w:val="none" w:sz="0" w:space="0" w:color="auto"/>
            <w:right w:val="none" w:sz="0" w:space="0" w:color="auto"/>
          </w:divBdr>
          <w:divsChild>
            <w:div w:id="1483237210">
              <w:marLeft w:val="0"/>
              <w:marRight w:val="0"/>
              <w:marTop w:val="0"/>
              <w:marBottom w:val="0"/>
              <w:divBdr>
                <w:top w:val="none" w:sz="0" w:space="0" w:color="auto"/>
                <w:left w:val="none" w:sz="0" w:space="0" w:color="auto"/>
                <w:bottom w:val="none" w:sz="0" w:space="0" w:color="auto"/>
                <w:right w:val="none" w:sz="0" w:space="0" w:color="auto"/>
              </w:divBdr>
              <w:divsChild>
                <w:div w:id="1047412873">
                  <w:marLeft w:val="0"/>
                  <w:marRight w:val="0"/>
                  <w:marTop w:val="0"/>
                  <w:marBottom w:val="0"/>
                  <w:divBdr>
                    <w:top w:val="none" w:sz="0" w:space="0" w:color="auto"/>
                    <w:left w:val="none" w:sz="0" w:space="0" w:color="auto"/>
                    <w:bottom w:val="none" w:sz="0" w:space="0" w:color="auto"/>
                    <w:right w:val="none" w:sz="0" w:space="0" w:color="auto"/>
                  </w:divBdr>
                  <w:divsChild>
                    <w:div w:id="373427386">
                      <w:marLeft w:val="0"/>
                      <w:marRight w:val="0"/>
                      <w:marTop w:val="0"/>
                      <w:marBottom w:val="0"/>
                      <w:divBdr>
                        <w:top w:val="none" w:sz="0" w:space="0" w:color="auto"/>
                        <w:left w:val="none" w:sz="0" w:space="0" w:color="auto"/>
                        <w:bottom w:val="none" w:sz="0" w:space="0" w:color="auto"/>
                        <w:right w:val="none" w:sz="0" w:space="0" w:color="auto"/>
                      </w:divBdr>
                      <w:divsChild>
                        <w:div w:id="83577244">
                          <w:marLeft w:val="0"/>
                          <w:marRight w:val="0"/>
                          <w:marTop w:val="180"/>
                          <w:marBottom w:val="0"/>
                          <w:divBdr>
                            <w:top w:val="none" w:sz="0" w:space="0" w:color="auto"/>
                            <w:left w:val="none" w:sz="0" w:space="0" w:color="auto"/>
                            <w:bottom w:val="none" w:sz="0" w:space="0" w:color="auto"/>
                            <w:right w:val="none" w:sz="0" w:space="0" w:color="auto"/>
                          </w:divBdr>
                          <w:divsChild>
                            <w:div w:id="1352145261">
                              <w:marLeft w:val="0"/>
                              <w:marRight w:val="0"/>
                              <w:marTop w:val="0"/>
                              <w:marBottom w:val="0"/>
                              <w:divBdr>
                                <w:top w:val="none" w:sz="0" w:space="0" w:color="auto"/>
                                <w:left w:val="none" w:sz="0" w:space="0" w:color="auto"/>
                                <w:bottom w:val="none" w:sz="0" w:space="0" w:color="auto"/>
                                <w:right w:val="none" w:sz="0" w:space="0" w:color="auto"/>
                              </w:divBdr>
                              <w:divsChild>
                                <w:div w:id="387923217">
                                  <w:marLeft w:val="0"/>
                                  <w:marRight w:val="0"/>
                                  <w:marTop w:val="0"/>
                                  <w:marBottom w:val="0"/>
                                  <w:divBdr>
                                    <w:top w:val="none" w:sz="0" w:space="0" w:color="auto"/>
                                    <w:left w:val="none" w:sz="0" w:space="0" w:color="auto"/>
                                    <w:bottom w:val="none" w:sz="0" w:space="0" w:color="auto"/>
                                    <w:right w:val="none" w:sz="0" w:space="0" w:color="auto"/>
                                  </w:divBdr>
                                  <w:divsChild>
                                    <w:div w:id="818110832">
                                      <w:marLeft w:val="0"/>
                                      <w:marRight w:val="0"/>
                                      <w:marTop w:val="0"/>
                                      <w:marBottom w:val="0"/>
                                      <w:divBdr>
                                        <w:top w:val="none" w:sz="0" w:space="0" w:color="auto"/>
                                        <w:left w:val="none" w:sz="0" w:space="0" w:color="auto"/>
                                        <w:bottom w:val="none" w:sz="0" w:space="0" w:color="auto"/>
                                        <w:right w:val="none" w:sz="0" w:space="0" w:color="auto"/>
                                      </w:divBdr>
                                      <w:divsChild>
                                        <w:div w:id="1339191025">
                                          <w:marLeft w:val="0"/>
                                          <w:marRight w:val="0"/>
                                          <w:marTop w:val="0"/>
                                          <w:marBottom w:val="0"/>
                                          <w:divBdr>
                                            <w:top w:val="none" w:sz="0" w:space="0" w:color="auto"/>
                                            <w:left w:val="none" w:sz="0" w:space="0" w:color="auto"/>
                                            <w:bottom w:val="none" w:sz="0" w:space="0" w:color="auto"/>
                                            <w:right w:val="none" w:sz="0" w:space="0" w:color="auto"/>
                                          </w:divBdr>
                                          <w:divsChild>
                                            <w:div w:id="1336155273">
                                              <w:marLeft w:val="0"/>
                                              <w:marRight w:val="0"/>
                                              <w:marTop w:val="0"/>
                                              <w:marBottom w:val="0"/>
                                              <w:divBdr>
                                                <w:top w:val="none" w:sz="0" w:space="0" w:color="auto"/>
                                                <w:left w:val="none" w:sz="0" w:space="0" w:color="auto"/>
                                                <w:bottom w:val="none" w:sz="0" w:space="0" w:color="auto"/>
                                                <w:right w:val="none" w:sz="0" w:space="0" w:color="auto"/>
                                              </w:divBdr>
                                              <w:divsChild>
                                                <w:div w:id="14609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124711">
                                      <w:marLeft w:val="0"/>
                                      <w:marRight w:val="0"/>
                                      <w:marTop w:val="0"/>
                                      <w:marBottom w:val="0"/>
                                      <w:divBdr>
                                        <w:top w:val="none" w:sz="0" w:space="0" w:color="auto"/>
                                        <w:left w:val="none" w:sz="0" w:space="0" w:color="auto"/>
                                        <w:bottom w:val="none" w:sz="0" w:space="0" w:color="auto"/>
                                        <w:right w:val="none" w:sz="0" w:space="0" w:color="auto"/>
                                      </w:divBdr>
                                      <w:divsChild>
                                        <w:div w:id="666054601">
                                          <w:marLeft w:val="0"/>
                                          <w:marRight w:val="0"/>
                                          <w:marTop w:val="0"/>
                                          <w:marBottom w:val="0"/>
                                          <w:divBdr>
                                            <w:top w:val="none" w:sz="0" w:space="0" w:color="auto"/>
                                            <w:left w:val="none" w:sz="0" w:space="0" w:color="auto"/>
                                            <w:bottom w:val="none" w:sz="0" w:space="0" w:color="auto"/>
                                            <w:right w:val="none" w:sz="0" w:space="0" w:color="auto"/>
                                          </w:divBdr>
                                          <w:divsChild>
                                            <w:div w:id="199900245">
                                              <w:marLeft w:val="0"/>
                                              <w:marRight w:val="0"/>
                                              <w:marTop w:val="0"/>
                                              <w:marBottom w:val="0"/>
                                              <w:divBdr>
                                                <w:top w:val="none" w:sz="0" w:space="0" w:color="auto"/>
                                                <w:left w:val="none" w:sz="0" w:space="0" w:color="auto"/>
                                                <w:bottom w:val="none" w:sz="0" w:space="0" w:color="auto"/>
                                                <w:right w:val="none" w:sz="0" w:space="0" w:color="auto"/>
                                              </w:divBdr>
                                              <w:divsChild>
                                                <w:div w:id="98882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1430753">
      <w:bodyDiv w:val="1"/>
      <w:marLeft w:val="0"/>
      <w:marRight w:val="0"/>
      <w:marTop w:val="0"/>
      <w:marBottom w:val="0"/>
      <w:divBdr>
        <w:top w:val="none" w:sz="0" w:space="0" w:color="auto"/>
        <w:left w:val="none" w:sz="0" w:space="0" w:color="auto"/>
        <w:bottom w:val="none" w:sz="0" w:space="0" w:color="auto"/>
        <w:right w:val="none" w:sz="0" w:space="0" w:color="auto"/>
      </w:divBdr>
      <w:divsChild>
        <w:div w:id="1723751964">
          <w:marLeft w:val="0"/>
          <w:marRight w:val="0"/>
          <w:marTop w:val="0"/>
          <w:marBottom w:val="0"/>
          <w:divBdr>
            <w:top w:val="none" w:sz="0" w:space="0" w:color="auto"/>
            <w:left w:val="none" w:sz="0" w:space="0" w:color="auto"/>
            <w:bottom w:val="none" w:sz="0" w:space="0" w:color="auto"/>
            <w:right w:val="none" w:sz="0" w:space="0" w:color="auto"/>
          </w:divBdr>
          <w:divsChild>
            <w:div w:id="434903725">
              <w:marLeft w:val="0"/>
              <w:marRight w:val="0"/>
              <w:marTop w:val="0"/>
              <w:marBottom w:val="0"/>
              <w:divBdr>
                <w:top w:val="none" w:sz="0" w:space="0" w:color="auto"/>
                <w:left w:val="none" w:sz="0" w:space="0" w:color="auto"/>
                <w:bottom w:val="none" w:sz="0" w:space="0" w:color="auto"/>
                <w:right w:val="none" w:sz="0" w:space="0" w:color="auto"/>
              </w:divBdr>
              <w:divsChild>
                <w:div w:id="1675760942">
                  <w:marLeft w:val="0"/>
                  <w:marRight w:val="0"/>
                  <w:marTop w:val="0"/>
                  <w:marBottom w:val="0"/>
                  <w:divBdr>
                    <w:top w:val="none" w:sz="0" w:space="0" w:color="auto"/>
                    <w:left w:val="none" w:sz="0" w:space="0" w:color="auto"/>
                    <w:bottom w:val="none" w:sz="0" w:space="0" w:color="auto"/>
                    <w:right w:val="none" w:sz="0" w:space="0" w:color="auto"/>
                  </w:divBdr>
                  <w:divsChild>
                    <w:div w:id="188351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paten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so.org/directiv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iso.org/iso/foreword.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2224</Words>
  <Characters>12681</Characters>
  <Application>Microsoft Office Word</Application>
  <DocSecurity>0</DocSecurity>
  <Lines>105</Lines>
  <Paragraphs>29</Paragraphs>
  <ScaleCrop>false</ScaleCrop>
  <Company/>
  <LinksUpToDate>false</LinksUpToDate>
  <CharactersWithSpaces>14876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李晓睿</dc:creator>
  <cp:keywords/>
  <dc:description/>
  <cp:lastModifiedBy>姚晨之</cp:lastModifiedBy>
  <cp:revision>2</cp:revision>
  <dcterms:created xsi:type="dcterms:W3CDTF">2025-03-04T06:36:00Z</dcterms:created>
  <dcterms:modified xsi:type="dcterms:W3CDTF">2025-03-04T06:36:00Z</dcterms:modified>
</cp:coreProperties>
</file>